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5CAF" w14:textId="77777777" w:rsidR="00C04A2B" w:rsidRPr="00081919" w:rsidRDefault="00000000" w:rsidP="00081919">
      <w:pPr>
        <w:pStyle w:val="Ttulo1"/>
        <w:jc w:val="both"/>
        <w:rPr>
          <w:lang w:val="pt-BR"/>
        </w:rPr>
      </w:pPr>
      <w:proofErr w:type="spellStart"/>
      <w:r w:rsidRPr="00081919">
        <w:rPr>
          <w:lang w:val="pt-BR"/>
        </w:rPr>
        <w:t>Relatorio</w:t>
      </w:r>
      <w:proofErr w:type="spellEnd"/>
      <w:r w:rsidRPr="00081919">
        <w:rPr>
          <w:lang w:val="pt-BR"/>
        </w:rPr>
        <w:t xml:space="preserve"> de Objetos Alteradores</w:t>
      </w:r>
    </w:p>
    <w:p w14:paraId="59F7AF37" w14:textId="77777777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t>Gerado em 2026-02-24 23:28:06</w:t>
      </w:r>
    </w:p>
    <w:p w14:paraId="0E09C4C0" w14:textId="77777777" w:rsidR="00C04A2B" w:rsidRDefault="00000000" w:rsidP="00081919">
      <w:pPr>
        <w:jc w:val="both"/>
      </w:pPr>
      <w:proofErr w:type="spellStart"/>
      <w:r>
        <w:t>Parecer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>: inteiroTeor-3049495.pdf</w:t>
      </w:r>
    </w:p>
    <w:p w14:paraId="27CD9F37" w14:textId="77777777" w:rsidR="00C04A2B" w:rsidRDefault="00000000" w:rsidP="00081919">
      <w:pPr>
        <w:pStyle w:val="Numerada"/>
        <w:jc w:val="both"/>
      </w:pPr>
      <w:r>
        <w:rPr>
          <w:b/>
        </w:rPr>
        <w:t>DTQ-8 - DTQ-8-=_-PL-278-2026 (1).pdf</w:t>
      </w:r>
    </w:p>
    <w:p w14:paraId="1661D3EE" w14:textId="564D9C04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t xml:space="preserve">PL 278/2026 - </w:t>
      </w:r>
      <w:r w:rsidRPr="00C5129A">
        <w:rPr>
          <w:lang w:val="pt-BR"/>
        </w:rPr>
        <w:t xml:space="preserve">DTQ 8 </w:t>
      </w:r>
      <w:r w:rsidRPr="00081919">
        <w:rPr>
          <w:color w:val="EE0000"/>
          <w:lang w:val="pt-BR"/>
        </w:rPr>
        <w:t>trata da votação em separado do § 1º do art. 11-B</w:t>
      </w:r>
      <w:r w:rsidRPr="00C5129A">
        <w:rPr>
          <w:color w:val="EE0000"/>
          <w:lang w:val="pt-BR"/>
        </w:rPr>
        <w:t>, dispositivo incluído pelo substitutivo ao projeto para alterar a Lei nº 11.196/2005 e a Lei nº 15.211/2025</w:t>
      </w:r>
      <w:r w:rsidRPr="00C5129A">
        <w:rPr>
          <w:lang w:val="pt-BR"/>
        </w:rPr>
        <w:t xml:space="preserve">, </w:t>
      </w:r>
      <w:r w:rsidR="00C5129A" w:rsidRPr="00C5129A">
        <w:rPr>
          <w:lang w:val="pt-BR"/>
        </w:rPr>
        <w:t xml:space="preserve">se </w:t>
      </w:r>
      <w:proofErr w:type="spellStart"/>
      <w:r w:rsidR="00C5129A" w:rsidRPr="00C5129A">
        <w:rPr>
          <w:lang w:val="pt-BR"/>
        </w:rPr>
        <w:t>referere</w:t>
      </w:r>
      <w:proofErr w:type="spellEnd"/>
      <w:r w:rsidR="00C5129A" w:rsidRPr="00C5129A">
        <w:rPr>
          <w:lang w:val="pt-BR"/>
        </w:rPr>
        <w:t xml:space="preserve"> a</w:t>
      </w:r>
      <w:r w:rsidRPr="00081919">
        <w:rPr>
          <w:lang w:val="pt-BR"/>
        </w:rPr>
        <w:t>o ponto em que instituem o Regime Especial de Tributação para Serviços de Datacenter – REDATA. O destaque isola esse parágrafo específico do art. 11-B, para que seu conteúdo normativo sobre o regime tributário aplicável aos serviços de datacenter seja apreciado autonomamente, sem vinculação automática ao restante do artigo ou do regime especial criado.</w:t>
      </w:r>
    </w:p>
    <w:p w14:paraId="420C07DC" w14:textId="77777777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t>Com a votação em separado, o Plenário poderá suprimir ou manter o § 1º do art. 11-B, de modo que, se rejeitado, o Regime Especial de Tributação para Serviços de Datacenter – REDATA permanecerá sem a disciplina constante desse parágrafo, preservando-se o restante do art. 11-B e das demais alterações às Leis nº 11.196/2005 e nº 15.211/2025; se aprovado, o parágrafo será integrado ao texto final com vigência conjunta ao regime especial instituído.</w:t>
      </w:r>
    </w:p>
    <w:p w14:paraId="629657D0" w14:textId="77777777" w:rsidR="00C04A2B" w:rsidRDefault="00000000" w:rsidP="00081919">
      <w:pPr>
        <w:pStyle w:val="Numerada"/>
        <w:jc w:val="both"/>
      </w:pPr>
      <w:r>
        <w:rPr>
          <w:b/>
        </w:rPr>
        <w:t>EMP-1 - EMP-1-=_-PL-278-2026.pdf</w:t>
      </w:r>
    </w:p>
    <w:p w14:paraId="3CB3BF0C" w14:textId="77777777" w:rsidR="00C04A2B" w:rsidRPr="00081919" w:rsidRDefault="00000000" w:rsidP="00081919">
      <w:pPr>
        <w:jc w:val="both"/>
        <w:rPr>
          <w:lang w:val="pt-BR"/>
        </w:rPr>
      </w:pPr>
      <w:r w:rsidRPr="00081919">
        <w:rPr>
          <w:color w:val="EE0000"/>
          <w:lang w:val="pt-BR"/>
        </w:rPr>
        <w:t>A Emenda nº 1 ao Projeto de Lei nº 278, de 2026, propõe a inclusão do § 4º-B ao art. 13 da Lei nº 10.438, de 2002</w:t>
      </w:r>
      <w:r w:rsidRPr="00081919">
        <w:rPr>
          <w:lang w:val="pt-BR"/>
        </w:rPr>
        <w:t>. A alteração estabelece que os valores recebidos pelas geradoras de energia termelétrica, a título de reembolso da CDE pelo custo de aquisição de carvão, sejam equiparados à receita bruta para fins de incidência de PIS/PASEP e COFINS e de apuração da base de cálculo do IRPJ e da CSLL, nos termos da legislação de regência mencionada.</w:t>
      </w:r>
    </w:p>
    <w:p w14:paraId="56B50C32" w14:textId="77777777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t>O efeito normativo da emenda é tornar expressamente tributáveis, como receita bruta operacional, os reembolsos destinados à cobertura dos custos de carvão das geradoras termelétricas, afastando interpretações que os tratem como verbas não sujeitas a PIS/PASEP, COFINS e aos reflexos na apuração do lucro. A medida amplia a arrecadação federal e tende a reduzir controvérsias administrativas e judiciais sobre a natureza jurídica desses valores, demandando ajustes regulatórios pela ANEEL quanto ao seu registro contábil pelas empresas do setor elétrico.</w:t>
      </w:r>
    </w:p>
    <w:p w14:paraId="7AA1B606" w14:textId="77777777" w:rsidR="00C04A2B" w:rsidRDefault="00000000" w:rsidP="00081919">
      <w:pPr>
        <w:pStyle w:val="Numerada"/>
        <w:jc w:val="both"/>
      </w:pPr>
      <w:r>
        <w:rPr>
          <w:b/>
        </w:rPr>
        <w:t>EMP-12 - EMP-12-=_-PL-278-2026.pdf</w:t>
      </w:r>
    </w:p>
    <w:p w14:paraId="28D0F88C" w14:textId="77777777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t xml:space="preserve">A Emenda </w:t>
      </w:r>
      <w:r w:rsidRPr="00C5129A">
        <w:rPr>
          <w:color w:val="EE0000"/>
          <w:lang w:val="pt-BR"/>
        </w:rPr>
        <w:t xml:space="preserve">de Plenário 12 ao Projeto de Lei nº 278, de 2026, </w:t>
      </w:r>
      <w:r w:rsidRPr="00081919">
        <w:rPr>
          <w:lang w:val="pt-BR"/>
        </w:rPr>
        <w:t xml:space="preserve">modifica a redação do inciso III do § 1º do art. 11-B da Lei nº 11.196, de 2005, na forma dada pelo projeto, para estabelecer que o atendimento integral da demanda de energia elétrica dos datacenters possa ocorrer por contratos de suprimento ou autoprodução provenientes de fontes limpas ou de baixa </w:t>
      </w:r>
      <w:r w:rsidRPr="00081919">
        <w:rPr>
          <w:lang w:val="pt-BR"/>
        </w:rPr>
        <w:lastRenderedPageBreak/>
        <w:t>emissão. Para além das fontes renováveis, a emenda inclui expressamente o Gás Natural, o Biometano e a energia nuclear como fontes aptas a cumprir os critérios de sustentabilidade energética, nos termos de futura regulamentação.</w:t>
      </w:r>
    </w:p>
    <w:p w14:paraId="73DBC9C7" w14:textId="77777777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t>O efeito da alteração é ampliar o rol de fontes energéticas consideradas compatíveis com os requisitos de sustentabilidade aplicáveis aos serviços de datacenter, afastando a exigência de exclusividade de fontes renováveis. Com isso, o conteúdo normativo do dispositivo passa a admitir a utilização de matrizes de baixa emissão e alta confiabilidade, ajustando o regime jurídico dos datacenters a opções energéticas que combinam estabilidade do suprimento, transição energética e segurança operacional, condicionadas à disciplina regulamentar competente.</w:t>
      </w:r>
    </w:p>
    <w:p w14:paraId="51D8DCF7" w14:textId="77777777" w:rsidR="00C04A2B" w:rsidRDefault="00000000" w:rsidP="00081919">
      <w:pPr>
        <w:pStyle w:val="Numerada"/>
        <w:jc w:val="both"/>
      </w:pPr>
      <w:r>
        <w:rPr>
          <w:b/>
        </w:rPr>
        <w:t>EMP-16 - EMP-16-=_-PL-278-2026.pdf</w:t>
      </w:r>
    </w:p>
    <w:p w14:paraId="07A1CB5F" w14:textId="77777777" w:rsidR="00C04A2B" w:rsidRPr="00081919" w:rsidRDefault="00000000" w:rsidP="00081919">
      <w:pPr>
        <w:jc w:val="both"/>
        <w:rPr>
          <w:lang w:val="pt-BR"/>
        </w:rPr>
      </w:pPr>
      <w:r w:rsidRPr="00081919">
        <w:rPr>
          <w:color w:val="EE0000"/>
          <w:lang w:val="pt-BR"/>
        </w:rPr>
        <w:t>A Emenda de Plenário 16 modifica a redação do § 4º do art. 11-C do Projeto de Lei nº 278, de 2026, que institui o Regime Especial de Tributação para Serviços de Datacenter – REDATA na Lei nº 11.196, de 2005</w:t>
      </w:r>
      <w:r w:rsidRPr="00081919">
        <w:rPr>
          <w:lang w:val="pt-BR"/>
        </w:rPr>
        <w:t>. A alteração restringe a suspensão tributária aos produtos individualmente relacionados em ato do Poder Executivo federal, afastando qualquer possibilidade de enquadramento de bens na forma de sistema para fins de fruição do benefício fiscal.</w:t>
      </w:r>
    </w:p>
    <w:p w14:paraId="6503B49B" w14:textId="77777777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t>O efeito normativo da emenda é delimitar de forma mais rígida o campo de incidência do regime especial, reforçando o controle sobre os itens que poderão usufruir da suspensão tributária e impedindo interpretações extensivas baseadas em conceitos de sistemas ou conjuntos funcionais. Com isso, busca-se coibir usos indevidos do REDATA, preservar a arrecadação e assegurar maior segurança jurídica na aplicação do incentivo tributário, sem alterar a estrutura geral do regime instituído pelo projeto.</w:t>
      </w:r>
    </w:p>
    <w:p w14:paraId="5A3487E2" w14:textId="77777777" w:rsidR="00C04A2B" w:rsidRDefault="00000000" w:rsidP="00081919">
      <w:pPr>
        <w:pStyle w:val="Numerada"/>
        <w:jc w:val="both"/>
      </w:pPr>
      <w:r>
        <w:rPr>
          <w:b/>
        </w:rPr>
        <w:t>EMP-25 - EMP-25-=_-PL-278-2026.pdf</w:t>
      </w:r>
    </w:p>
    <w:p w14:paraId="2C4DC052" w14:textId="45F608A1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t xml:space="preserve">A Emenda </w:t>
      </w:r>
      <w:r w:rsidRPr="00081919">
        <w:rPr>
          <w:color w:val="EE0000"/>
          <w:lang w:val="pt-BR"/>
        </w:rPr>
        <w:t>de Plenário 25 é emenda supressiva que propõe a retirada do § 3º do art. 2º-A da Lei nº 11.488, de 2007, inserido pelo Projeto de Lei nº 278/2026</w:t>
      </w:r>
      <w:r w:rsidRPr="00081919">
        <w:rPr>
          <w:lang w:val="pt-BR"/>
        </w:rPr>
        <w:t xml:space="preserve">, </w:t>
      </w:r>
      <w:r w:rsidR="00C5129A">
        <w:rPr>
          <w:lang w:val="pt-BR"/>
        </w:rPr>
        <w:t>[suprime]</w:t>
      </w:r>
      <w:r w:rsidRPr="00081919">
        <w:rPr>
          <w:lang w:val="pt-BR"/>
        </w:rPr>
        <w:t xml:space="preserve"> a exigência de que sistemas de geração de energia solar, inclusive micro e minigeração distribuída, prevejam sistemas de armazenamento químico de energia como condição para fruição do REIDI.</w:t>
      </w:r>
    </w:p>
    <w:p w14:paraId="3DD7CDC0" w14:textId="77777777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t>O efeito da emenda é preservar o desenho original do regime especial de incentivos à infraestrutura, afastando condicionante tecnológica específica para empreendimentos de geração solar e mantendo a possibilidade de habilitação ao REIDI sem a obrigatoriedade de sistemas de armazenamento, o que reduz custos, evita distorções concorrenciais e restabelece a neutralidade tecnológica e a segurança jurídica no setor elétrico em relação a esse benefício fiscal.</w:t>
      </w:r>
    </w:p>
    <w:p w14:paraId="1AFD0EED" w14:textId="77777777" w:rsidR="00C04A2B" w:rsidRDefault="00000000" w:rsidP="00081919">
      <w:pPr>
        <w:pStyle w:val="Numerada"/>
        <w:jc w:val="both"/>
      </w:pPr>
      <w:r>
        <w:rPr>
          <w:b/>
        </w:rPr>
        <w:t>EMP-63 - EMP-63-=_-PL-278-2026.pdf</w:t>
      </w:r>
    </w:p>
    <w:p w14:paraId="79325B35" w14:textId="0468C12D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lastRenderedPageBreak/>
        <w:t xml:space="preserve">A Emenda </w:t>
      </w:r>
      <w:r w:rsidRPr="00C5129A">
        <w:rPr>
          <w:color w:val="EE0000"/>
          <w:lang w:val="pt-BR"/>
        </w:rPr>
        <w:t>de Plenário 63 modifica a redação do § 6º do art. 11-C da Lei nº 11.196, de 2005, na forma proposta pelo Projeto de Lei nº 278, de 2026, para substituir</w:t>
      </w:r>
      <w:r w:rsidRPr="00C5129A">
        <w:rPr>
          <w:lang w:val="pt-BR"/>
        </w:rPr>
        <w:t xml:space="preserve"> </w:t>
      </w:r>
      <w:r w:rsidR="00C5129A">
        <w:rPr>
          <w:lang w:val="pt-BR"/>
        </w:rPr>
        <w:t xml:space="preserve">[substitui] </w:t>
      </w:r>
      <w:r w:rsidRPr="00081919">
        <w:rPr>
          <w:lang w:val="pt-BR"/>
        </w:rPr>
        <w:t>o critério de referência a produtos sem similar nacional pela exigência de inexistência de capacidade de produção nacional equivalente, condicionando a fruição do benefício fiscal do REDATA a essa nova terminologia técnica. A alteração é de natureza redacional-material, voltada à atualização conceitual do requisito para a aplicação do regime tributário especial a equipamentos, máquinas, aparelhos e instrumentos vinculados a serviços de datacenter.</w:t>
      </w:r>
    </w:p>
    <w:p w14:paraId="1BE1FA8A" w14:textId="77777777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t>O efeito da emenda é restringir e, ao mesmo tempo, qualificar o âmbito de incidência do benefício fiscal previsto no art. 11-C, de modo que a concessão do regime especial passa a depender de verificação da capacidade produtiva nacional em parâmetros de equivalência tecnológica, escala e logística, conforme futura regulamentação. Preserva-se o núcleo do incentivo tributário, mas altera-se o critério de elegibilidade dos bens beneficiados, com impacto direto na interpretação administrativa e na seleção dos equipamentos aptos a ingressar no regime REDATA.</w:t>
      </w:r>
    </w:p>
    <w:p w14:paraId="47554464" w14:textId="77777777" w:rsidR="00C04A2B" w:rsidRDefault="00000000" w:rsidP="00081919">
      <w:pPr>
        <w:pStyle w:val="Numerada"/>
        <w:jc w:val="both"/>
      </w:pPr>
      <w:r>
        <w:rPr>
          <w:b/>
        </w:rPr>
        <w:t>EMP-68 - EMP-68-=_-PL-278-2026.pdf</w:t>
      </w:r>
    </w:p>
    <w:p w14:paraId="2D2D9C60" w14:textId="7BE22192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t xml:space="preserve">A Emenda de Plenário </w:t>
      </w:r>
      <w:r w:rsidRPr="00C5129A">
        <w:rPr>
          <w:color w:val="EE0000"/>
          <w:lang w:val="pt-BR"/>
        </w:rPr>
        <w:t xml:space="preserve">68 acresce novos parágrafos ao art. 11-B da Lei nº 11.196, de 2005, na forma proposta pelo Projeto de Lei nº 278, de 2026, para condicionar </w:t>
      </w:r>
      <w:r w:rsidR="00C5129A">
        <w:rPr>
          <w:lang w:val="pt-BR"/>
        </w:rPr>
        <w:t xml:space="preserve">[condiciona] </w:t>
      </w:r>
      <w:r w:rsidRPr="00081919">
        <w:rPr>
          <w:lang w:val="pt-BR"/>
        </w:rPr>
        <w:t>a habilitação ao Regime Especial de Tributação para Serviços de Datacenter à apresentação prévia de relatório de impacto socioambiental acompanhado de plano de mitigação de impactos. A emenda estabelece requisitos mínimos de conteúdo para esse relatório, abrangendo análise da origem e disponibilidade hídrica, avaliação de impactos sobre comunidades do entorno, efeitos acumulados sobre energia, território e infraestrutura local, bem como a definição de medidas concretas de mitigação e compensação.</w:t>
      </w:r>
    </w:p>
    <w:p w14:paraId="49D4E5DE" w14:textId="77777777" w:rsidR="00C04A2B" w:rsidRPr="00081919" w:rsidRDefault="00000000" w:rsidP="00081919">
      <w:pPr>
        <w:jc w:val="both"/>
        <w:rPr>
          <w:lang w:val="pt-BR"/>
        </w:rPr>
      </w:pPr>
      <w:r w:rsidRPr="00081919">
        <w:rPr>
          <w:lang w:val="pt-BR"/>
        </w:rPr>
        <w:t>O dispositivo proposto também altera a forma de contratação do estudo, determinando que o relatório seja custeado pelo interessado, porém contratado por órgão público ambiental ou entidade de fiscalização competente, vedada a contratação direta pelo beneficiário junto à consultoria ou entidade responsável pela elaboração. Com isso, a emenda introduz exigências adicionais de governança e controle socioambiental como condição para fruição do regime tributário especial, restringindo o acesso ao REDATA a empreendimentos que comprovem avaliação independente e plano específico de mitigação dos impactos identificados.</w:t>
      </w:r>
    </w:p>
    <w:sectPr w:rsidR="00C04A2B" w:rsidRPr="000819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57695">
    <w:abstractNumId w:val="8"/>
  </w:num>
  <w:num w:numId="2" w16cid:durableId="1223061160">
    <w:abstractNumId w:val="6"/>
  </w:num>
  <w:num w:numId="3" w16cid:durableId="1150487516">
    <w:abstractNumId w:val="5"/>
  </w:num>
  <w:num w:numId="4" w16cid:durableId="702557312">
    <w:abstractNumId w:val="4"/>
  </w:num>
  <w:num w:numId="5" w16cid:durableId="1117483621">
    <w:abstractNumId w:val="7"/>
  </w:num>
  <w:num w:numId="6" w16cid:durableId="1525285981">
    <w:abstractNumId w:val="3"/>
  </w:num>
  <w:num w:numId="7" w16cid:durableId="2122218948">
    <w:abstractNumId w:val="2"/>
  </w:num>
  <w:num w:numId="8" w16cid:durableId="2088333554">
    <w:abstractNumId w:val="1"/>
  </w:num>
  <w:num w:numId="9" w16cid:durableId="140301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919"/>
    <w:rsid w:val="0015074B"/>
    <w:rsid w:val="0029639D"/>
    <w:rsid w:val="00326F90"/>
    <w:rsid w:val="00A30F63"/>
    <w:rsid w:val="00AA1D8D"/>
    <w:rsid w:val="00B47730"/>
    <w:rsid w:val="00C04A2B"/>
    <w:rsid w:val="00C1413A"/>
    <w:rsid w:val="00C512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47F514"/>
  <w14:defaultImageDpi w14:val="300"/>
  <w15:docId w15:val="{89974B8F-1385-4574-B7A4-F50A7A86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1209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Maurício Augusto Chiramonte Vieira</cp:lastModifiedBy>
  <cp:revision>4</cp:revision>
  <dcterms:created xsi:type="dcterms:W3CDTF">2013-12-23T23:15:00Z</dcterms:created>
  <dcterms:modified xsi:type="dcterms:W3CDTF">2026-02-25T02:39:00Z</dcterms:modified>
  <cp:category/>
</cp:coreProperties>
</file>