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36EF" w14:textId="77777777" w:rsidR="00204438" w:rsidRDefault="00204438"/>
    <w:tbl>
      <w:tblPr>
        <w:tblStyle w:val="Tabelacomgrade"/>
        <w:tblpPr w:leftFromText="141" w:rightFromText="141" w:vertAnchor="text" w:horzAnchor="margin" w:tblpXSpec="center" w:tblpY="2390"/>
        <w:tblW w:w="11881" w:type="dxa"/>
        <w:tblBorders>
          <w:top w:val="none" w:sz="0" w:space="0" w:color="auto"/>
          <w:left w:val="none" w:sz="0" w:space="0" w:color="auto"/>
          <w:bottom w:val="single" w:sz="18" w:space="0" w:color="308D4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470"/>
        <w:gridCol w:w="1701"/>
        <w:gridCol w:w="7938"/>
        <w:gridCol w:w="1108"/>
      </w:tblGrid>
      <w:tr w:rsidR="00230F32" w14:paraId="10C536F5" w14:textId="77777777" w:rsidTr="00CE4313">
        <w:trPr>
          <w:cantSplit/>
          <w:trHeight w:hRule="exact" w:val="340"/>
        </w:trPr>
        <w:tc>
          <w:tcPr>
            <w:tcW w:w="664" w:type="dxa"/>
            <w:tcBorders>
              <w:bottom w:val="single" w:sz="18" w:space="0" w:color="3E6F30"/>
            </w:tcBorders>
          </w:tcPr>
          <w:p w14:paraId="10C536F0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ind w:left="0"/>
              <w:rPr>
                <w:sz w:val="12"/>
              </w:rPr>
            </w:pPr>
            <w:bookmarkStart w:id="0" w:name="_gjdgxs" w:colFirst="0" w:colLast="0"/>
            <w:bookmarkEnd w:id="0"/>
          </w:p>
        </w:tc>
        <w:tc>
          <w:tcPr>
            <w:tcW w:w="470" w:type="dxa"/>
            <w:tcBorders>
              <w:bottom w:val="single" w:sz="18" w:space="0" w:color="3E6F30"/>
            </w:tcBorders>
            <w:vAlign w:val="center"/>
          </w:tcPr>
          <w:p w14:paraId="10C536F1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Borders>
              <w:bottom w:val="single" w:sz="18" w:space="0" w:color="3E6F30"/>
            </w:tcBorders>
            <w:shd w:val="clear" w:color="auto" w:fill="3E6F30"/>
            <w:vAlign w:val="center"/>
          </w:tcPr>
          <w:p w14:paraId="10C536F2" w14:textId="77777777" w:rsidR="00230F32" w:rsidRDefault="00230F32" w:rsidP="00230F32">
            <w:pPr>
              <w:spacing w:after="0"/>
              <w:jc w:val="left"/>
            </w:pPr>
            <w:r>
              <w:rPr>
                <w:rFonts w:ascii="Arial Black" w:hAnsi="Arial Black"/>
                <w:color w:val="FFFFFF" w:themeColor="background1"/>
                <w:szCs w:val="20"/>
              </w:rPr>
              <w:t>CONSULTA</w:t>
            </w:r>
          </w:p>
        </w:tc>
        <w:tc>
          <w:tcPr>
            <w:tcW w:w="7938" w:type="dxa"/>
            <w:tcBorders>
              <w:bottom w:val="single" w:sz="18" w:space="0" w:color="3E6F30"/>
            </w:tcBorders>
            <w:vAlign w:val="center"/>
          </w:tcPr>
          <w:p w14:paraId="10C536F3" w14:textId="77777777" w:rsidR="00230F32" w:rsidRDefault="00230F32" w:rsidP="00230F32">
            <w:pPr>
              <w:pStyle w:val="CAPAESTUDO-TTULO"/>
              <w:framePr w:hSpace="0" w:wrap="auto" w:vAnchor="margin" w:hAnchor="text" w:xAlign="left" w:yAlign="inline"/>
              <w:rPr>
                <w:rFonts w:ascii="Arial" w:hAnsi="Arial"/>
                <w:sz w:val="24"/>
              </w:rPr>
            </w:pPr>
          </w:p>
        </w:tc>
        <w:tc>
          <w:tcPr>
            <w:tcW w:w="1108" w:type="dxa"/>
            <w:tcBorders>
              <w:bottom w:val="single" w:sz="18" w:space="0" w:color="3E6F30"/>
            </w:tcBorders>
          </w:tcPr>
          <w:p w14:paraId="10C536F4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30F32" w14:paraId="10C536FB" w14:textId="77777777" w:rsidTr="00CE4313">
        <w:trPr>
          <w:cantSplit/>
          <w:trHeight w:hRule="exact" w:val="340"/>
        </w:trPr>
        <w:tc>
          <w:tcPr>
            <w:tcW w:w="664" w:type="dxa"/>
            <w:tcBorders>
              <w:top w:val="single" w:sz="18" w:space="0" w:color="3E6F30"/>
              <w:bottom w:val="nil"/>
            </w:tcBorders>
          </w:tcPr>
          <w:p w14:paraId="10C536F6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470" w:type="dxa"/>
            <w:tcBorders>
              <w:top w:val="single" w:sz="18" w:space="0" w:color="3E6F30"/>
              <w:bottom w:val="nil"/>
            </w:tcBorders>
            <w:vAlign w:val="center"/>
          </w:tcPr>
          <w:p w14:paraId="10C536F7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18" w:space="0" w:color="3E6F30"/>
              <w:bottom w:val="nil"/>
            </w:tcBorders>
            <w:shd w:val="clear" w:color="auto" w:fill="3E6F30"/>
            <w:vAlign w:val="center"/>
          </w:tcPr>
          <w:p w14:paraId="10C536F8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7938" w:type="dxa"/>
            <w:tcBorders>
              <w:top w:val="single" w:sz="18" w:space="0" w:color="3E6F30"/>
              <w:bottom w:val="nil"/>
            </w:tcBorders>
            <w:vAlign w:val="center"/>
          </w:tcPr>
          <w:p w14:paraId="10C536F9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1108" w:type="dxa"/>
            <w:tcBorders>
              <w:top w:val="single" w:sz="18" w:space="0" w:color="3E6F30"/>
              <w:bottom w:val="nil"/>
            </w:tcBorders>
          </w:tcPr>
          <w:p w14:paraId="10C536FA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F2B58" w14:paraId="10C53701" w14:textId="77777777" w:rsidTr="00CE4313">
        <w:trPr>
          <w:trHeight w:val="3118"/>
        </w:trPr>
        <w:tc>
          <w:tcPr>
            <w:tcW w:w="664" w:type="dxa"/>
            <w:tcBorders>
              <w:top w:val="nil"/>
            </w:tcBorders>
          </w:tcPr>
          <w:p w14:paraId="10C536FC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10109" w:type="dxa"/>
            <w:gridSpan w:val="3"/>
            <w:tcBorders>
              <w:top w:val="nil"/>
              <w:bottom w:val="single" w:sz="18" w:space="0" w:color="3E6F30"/>
            </w:tcBorders>
          </w:tcPr>
          <w:p w14:paraId="10C536FD" w14:textId="4D02688E" w:rsidR="002F2B58" w:rsidRDefault="002F2B58" w:rsidP="00230F32">
            <w:pPr>
              <w:pStyle w:val="CAPAESTUDO-TTULO"/>
              <w:framePr w:hSpace="0" w:wrap="auto" w:vAnchor="margin" w:hAnchor="text" w:xAlign="left" w:yAlign="inline"/>
              <w:spacing w:before="720" w:after="200" w:line="276" w:lineRule="auto"/>
              <w:ind w:left="362"/>
              <w:rPr>
                <w:rFonts w:ascii="Arial" w:hAnsi="Arial"/>
                <w:color w:val="auto"/>
                <w:sz w:val="24"/>
              </w:rPr>
            </w:pPr>
            <w:r w:rsidRPr="00CE4313">
              <w:rPr>
                <w:rFonts w:ascii="Arial" w:hAnsi="Arial"/>
                <w:sz w:val="24"/>
              </w:rPr>
              <w:t xml:space="preserve">TEOR DA SOLICITAÇÃO: </w:t>
            </w:r>
            <w:r w:rsidR="00B45F5A">
              <w:rPr>
                <w:rFonts w:ascii="Arial" w:hAnsi="Arial"/>
                <w:color w:val="auto"/>
                <w:sz w:val="24"/>
              </w:rPr>
              <w:t>Q</w:t>
            </w:r>
            <w:r w:rsidR="00A3521F">
              <w:rPr>
                <w:rFonts w:ascii="Arial" w:hAnsi="Arial"/>
                <w:color w:val="auto"/>
                <w:sz w:val="24"/>
              </w:rPr>
              <w:t>uadro comparativo por ano com a simulação de quanto os partidos recebem h</w:t>
            </w:r>
            <w:r w:rsidR="00B45F5A">
              <w:rPr>
                <w:rFonts w:ascii="Arial" w:hAnsi="Arial"/>
                <w:color w:val="auto"/>
                <w:sz w:val="24"/>
              </w:rPr>
              <w:t>oje</w:t>
            </w:r>
            <w:r w:rsidR="00A3521F">
              <w:rPr>
                <w:rFonts w:ascii="Arial" w:hAnsi="Arial"/>
                <w:color w:val="auto"/>
                <w:sz w:val="24"/>
              </w:rPr>
              <w:t xml:space="preserve"> de </w:t>
            </w:r>
            <w:r w:rsidR="00B45F5A">
              <w:rPr>
                <w:rFonts w:ascii="Arial" w:hAnsi="Arial"/>
                <w:color w:val="auto"/>
                <w:sz w:val="24"/>
              </w:rPr>
              <w:t xml:space="preserve">FEFC </w:t>
            </w:r>
            <w:r w:rsidR="00A3521F">
              <w:rPr>
                <w:rFonts w:ascii="Arial" w:hAnsi="Arial"/>
                <w:color w:val="auto"/>
                <w:sz w:val="24"/>
              </w:rPr>
              <w:t xml:space="preserve">e fundo partidário e quanto receberiam sem a EC </w:t>
            </w:r>
            <w:r w:rsidR="00B45F5A">
              <w:rPr>
                <w:rFonts w:ascii="Arial" w:hAnsi="Arial"/>
                <w:color w:val="auto"/>
                <w:sz w:val="24"/>
              </w:rPr>
              <w:t xml:space="preserve">nº </w:t>
            </w:r>
            <w:r w:rsidR="00A3521F">
              <w:rPr>
                <w:rFonts w:ascii="Arial" w:hAnsi="Arial"/>
                <w:color w:val="auto"/>
                <w:sz w:val="24"/>
              </w:rPr>
              <w:t>111/2021, desde a sua promulgação.</w:t>
            </w:r>
          </w:p>
          <w:p w14:paraId="10C536FE" w14:textId="77777777" w:rsidR="002F2B58" w:rsidRPr="001E0575" w:rsidRDefault="002F2B58" w:rsidP="00DE5570">
            <w:pPr>
              <w:pStyle w:val="CAPAESTUDO-TTULO"/>
              <w:framePr w:hSpace="0" w:wrap="auto" w:vAnchor="margin" w:hAnchor="text" w:xAlign="left" w:yAlign="inline"/>
              <w:spacing w:before="480" w:after="240" w:line="276" w:lineRule="auto"/>
              <w:ind w:left="362"/>
              <w:rPr>
                <w:rFonts w:ascii="Arial" w:hAnsi="Arial"/>
                <w:sz w:val="24"/>
              </w:rPr>
            </w:pPr>
            <w:r w:rsidRPr="00CE4313">
              <w:rPr>
                <w:rFonts w:ascii="Arial" w:hAnsi="Arial"/>
                <w:sz w:val="24"/>
              </w:rPr>
              <w:t>SOLICITANTE:</w:t>
            </w:r>
            <w:r w:rsidR="00A3521F">
              <w:rPr>
                <w:rFonts w:ascii="Arial" w:hAnsi="Arial"/>
                <w:sz w:val="24"/>
              </w:rPr>
              <w:t xml:space="preserve"> </w:t>
            </w:r>
            <w:r w:rsidR="005525B3" w:rsidRPr="00F85D71">
              <w:rPr>
                <w:rFonts w:ascii="Arial" w:hAnsi="Arial"/>
                <w:b w:val="0"/>
                <w:color w:val="auto"/>
                <w:sz w:val="24"/>
              </w:rPr>
              <w:t xml:space="preserve"> SECRETARIA DA MULHER</w:t>
            </w:r>
          </w:p>
          <w:p w14:paraId="7EB582BB" w14:textId="104D1529" w:rsidR="002F2B58" w:rsidRDefault="002F2B58" w:rsidP="00DE5570">
            <w:pPr>
              <w:pStyle w:val="CAPAESTUDO-TTULO"/>
              <w:framePr w:hSpace="0" w:wrap="auto" w:vAnchor="margin" w:hAnchor="text" w:xAlign="left" w:yAlign="inline"/>
              <w:spacing w:before="480" w:after="720" w:line="276" w:lineRule="auto"/>
              <w:ind w:left="1701" w:right="-284" w:hanging="1339"/>
              <w:rPr>
                <w:rFonts w:ascii="Arial" w:hAnsi="Arial"/>
                <w:b w:val="0"/>
                <w:color w:val="auto"/>
                <w:sz w:val="24"/>
              </w:rPr>
            </w:pPr>
            <w:r w:rsidRPr="00CE4313">
              <w:rPr>
                <w:rFonts w:ascii="Arial" w:hAnsi="Arial"/>
                <w:caps/>
                <w:sz w:val="24"/>
              </w:rPr>
              <w:t>Autores</w:t>
            </w:r>
            <w:r w:rsidRPr="00CE4313">
              <w:rPr>
                <w:rFonts w:ascii="Arial" w:hAnsi="Arial"/>
                <w:sz w:val="24"/>
              </w:rPr>
              <w:t>:</w:t>
            </w:r>
            <w:r w:rsidRPr="00CE4313">
              <w:rPr>
                <w:sz w:val="24"/>
              </w:rPr>
              <w:t xml:space="preserve"> 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t>Luís Jivago de Assis Quirino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br/>
              <w:t>Consultor Legislativo da Área I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br/>
              <w:t>Direito Constitucional, Eleitoral, Municipal, Regimento Interno, Processo Legislativo e Poder Judiciário</w:t>
            </w:r>
          </w:p>
          <w:p w14:paraId="10C536FF" w14:textId="68ABFB8F" w:rsidR="00B45F5A" w:rsidRPr="00A65A0E" w:rsidRDefault="00B45F5A" w:rsidP="00B45F5A">
            <w:pPr>
              <w:pStyle w:val="CAPAESTUDO-TTULO"/>
              <w:framePr w:hSpace="0" w:wrap="auto" w:vAnchor="margin" w:hAnchor="text" w:xAlign="left" w:yAlign="inline"/>
              <w:tabs>
                <w:tab w:val="clear" w:pos="374"/>
                <w:tab w:val="left" w:pos="1642"/>
              </w:tabs>
              <w:spacing w:before="480" w:after="720" w:line="276" w:lineRule="auto"/>
              <w:ind w:left="1701" w:right="-284" w:hanging="59"/>
              <w:rPr>
                <w:color w:val="auto"/>
                <w:sz w:val="24"/>
              </w:rPr>
            </w:pPr>
            <w:r>
              <w:rPr>
                <w:rFonts w:ascii="Arial" w:hAnsi="Arial"/>
                <w:b w:val="0"/>
                <w:color w:val="auto"/>
                <w:sz w:val="24"/>
              </w:rPr>
              <w:t xml:space="preserve"> </w:t>
            </w:r>
            <w:r>
              <w:rPr>
                <w:rFonts w:ascii="Arial" w:hAnsi="Arial"/>
                <w:b w:val="0"/>
                <w:color w:val="auto"/>
                <w:sz w:val="24"/>
              </w:rPr>
              <w:t>Maurício Augusto Chiaramonte Vieira</w:t>
            </w:r>
            <w:r>
              <w:rPr>
                <w:rFonts w:ascii="Arial" w:hAnsi="Arial"/>
                <w:b w:val="0"/>
                <w:color w:val="auto"/>
                <w:sz w:val="24"/>
              </w:rPr>
              <w:br/>
              <w:t>Consultor Legislativo da Área I</w:t>
            </w:r>
            <w:r>
              <w:rPr>
                <w:rFonts w:ascii="Arial" w:hAnsi="Arial"/>
                <w:b w:val="0"/>
                <w:color w:val="auto"/>
                <w:sz w:val="24"/>
              </w:rPr>
              <w:br/>
              <w:t>Direito Constitucional, Eleitoral, Municipal, Regimento Interno, Processo Legislativo e Poder Judiciário</w:t>
            </w:r>
          </w:p>
        </w:tc>
        <w:tc>
          <w:tcPr>
            <w:tcW w:w="1108" w:type="dxa"/>
            <w:tcBorders>
              <w:top w:val="nil"/>
              <w:bottom w:val="single" w:sz="18" w:space="0" w:color="3E6F30"/>
            </w:tcBorders>
          </w:tcPr>
          <w:p w14:paraId="10C53700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</w:tbl>
    <w:p w14:paraId="10C53702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3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4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5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6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7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8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9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A" w14:textId="77777777" w:rsidR="008B3DFA" w:rsidRDefault="008B3DFA"/>
    <w:p w14:paraId="10C5370B" w14:textId="77777777" w:rsidR="00204438" w:rsidRPr="008B3DFA" w:rsidRDefault="008B3DFA" w:rsidP="008B3DFA">
      <w:pPr>
        <w:tabs>
          <w:tab w:val="left" w:pos="3600"/>
        </w:tabs>
        <w:sectPr w:rsidR="00204438" w:rsidRPr="008B3DFA" w:rsidSect="00352617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93" w:right="1701" w:bottom="1417" w:left="1701" w:header="708" w:footer="939" w:gutter="0"/>
          <w:pgNumType w:start="1"/>
          <w:cols w:space="720"/>
          <w:titlePg/>
          <w:docGrid w:linePitch="326"/>
        </w:sectPr>
      </w:pPr>
      <w:r>
        <w:tab/>
      </w:r>
    </w:p>
    <w:p w14:paraId="1DDB39DE" w14:textId="77777777" w:rsidR="00BB1499" w:rsidRPr="00BB1499" w:rsidRDefault="00BB1499" w:rsidP="00BB1499">
      <w:pPr>
        <w:pStyle w:val="TTULOITEM1"/>
        <w:rPr>
          <w:snapToGrid w:val="0"/>
        </w:rPr>
      </w:pPr>
      <w:r w:rsidRPr="00BB1499">
        <w:rPr>
          <w:snapToGrid w:val="0"/>
        </w:rPr>
        <w:lastRenderedPageBreak/>
        <w:t>1. Resumo</w:t>
      </w:r>
    </w:p>
    <w:p w14:paraId="7E47C0D4" w14:textId="042F6FC8" w:rsidR="00BB1499" w:rsidRPr="00BB1499" w:rsidRDefault="00BB1499" w:rsidP="00BB1499">
      <w:pPr>
        <w:pStyle w:val="CORPOPADRO"/>
      </w:pPr>
      <w:r w:rsidRPr="00BB1499">
        <w:t xml:space="preserve">A </w:t>
      </w:r>
      <w:hyperlink r:id="rId13" w:history="1">
        <w:r w:rsidRPr="00967D62">
          <w:rPr>
            <w:rStyle w:val="Hyperlink"/>
          </w:rPr>
          <w:t>Emenda Constitucional (EC) nº 111/2021</w:t>
        </w:r>
      </w:hyperlink>
      <w:r w:rsidRPr="00BB1499">
        <w:t xml:space="preserve"> criou uma regra temporária para incentivar os partidos a lançar e apoiar candidaturas de mulheres e de pessoas negras. Pela regra, os votos dados a essas candidaturas para a Câmara dos Deputados contam em dobro quando o TSE calcula a distribuição de parte do FEFC e do Fundo Partidário. O voto continua valendo um voto para eleger representantes; a duplicação vale apenas para calcular uma parte do dinheiro público destinado aos partidos.</w:t>
      </w:r>
    </w:p>
    <w:p w14:paraId="21BD7449" w14:textId="2E45A74F" w:rsidR="00BB1499" w:rsidRPr="00BB1499" w:rsidRDefault="00BB1499" w:rsidP="00BB1499">
      <w:pPr>
        <w:pStyle w:val="CORPOPADRO"/>
      </w:pPr>
      <w:r w:rsidRPr="00BB1499">
        <w:t xml:space="preserve">Este estudo compara dois cenários. No primeiro, chamado de </w:t>
      </w:r>
      <w:r w:rsidRPr="00BB1499">
        <w:rPr>
          <w:b/>
          <w:bCs/>
        </w:rPr>
        <w:t>cenário atual</w:t>
      </w:r>
      <w:r w:rsidRPr="00BB1499">
        <w:t xml:space="preserve">, aplica-se a regra da EC nº 111/2021. No segundo, chamado de </w:t>
      </w:r>
      <w:r w:rsidRPr="00BB1499">
        <w:rPr>
          <w:b/>
          <w:bCs/>
        </w:rPr>
        <w:t xml:space="preserve">cenário sem </w:t>
      </w:r>
      <w:r w:rsidR="00653E79">
        <w:rPr>
          <w:b/>
          <w:bCs/>
        </w:rPr>
        <w:t xml:space="preserve">a </w:t>
      </w:r>
      <w:r w:rsidRPr="00BB1499">
        <w:rPr>
          <w:b/>
          <w:bCs/>
        </w:rPr>
        <w:t>EC</w:t>
      </w:r>
      <w:r w:rsidRPr="00BB1499">
        <w:t>, todos os votos são tratados com peso igual. A diferença entre os dois cenários mostra quanto cada partido ganhou ou deixou de ganhar na parcela dos fundos que depende da votação para a Câmara.</w:t>
      </w:r>
    </w:p>
    <w:p w14:paraId="7C22E451" w14:textId="14AFC083" w:rsidR="00BB1499" w:rsidRPr="00BB1499" w:rsidRDefault="00BB1499" w:rsidP="00BB1499">
      <w:pPr>
        <w:pStyle w:val="CORPOPADRO"/>
      </w:pPr>
      <w:r w:rsidRPr="00BB1499">
        <w:t xml:space="preserve">A </w:t>
      </w:r>
      <w:r w:rsidR="00653E79">
        <w:t xml:space="preserve">presente consulta </w:t>
      </w:r>
      <w:r w:rsidRPr="00BB1499">
        <w:t xml:space="preserve">concentra os quadros financeiros nos exercícios em que a EC nº 111/2021 produz comparação útil com a base de votos de 2022: FEFC 2024 e Fundo Partidário 2023, 2024 e 2025. O ano de 2022 é </w:t>
      </w:r>
      <w:r w:rsidR="00653E79">
        <w:t>mencionado apenas metodologicamente</w:t>
      </w:r>
      <w:r w:rsidRPr="00BB1499">
        <w:t xml:space="preserve">, porque não houve efeito financeiro a simular nem no FEFC nem no Fundo Partidário </w:t>
      </w:r>
      <w:r w:rsidR="00653E79">
        <w:t xml:space="preserve">referente àquele </w:t>
      </w:r>
      <w:r w:rsidRPr="00BB1499">
        <w:t>exercício.</w:t>
      </w:r>
    </w:p>
    <w:p w14:paraId="619DE26C" w14:textId="26116183" w:rsidR="00BB1499" w:rsidRPr="00BB1499" w:rsidRDefault="00BB1499" w:rsidP="00BB1499">
      <w:pPr>
        <w:pStyle w:val="CORPOPADRO"/>
      </w:pPr>
      <w:r w:rsidRPr="00BB1499">
        <w:t xml:space="preserve">A conclusão principal </w:t>
      </w:r>
      <w:r w:rsidR="00653E79">
        <w:t xml:space="preserve">é que </w:t>
      </w:r>
      <w:r w:rsidRPr="00BB1499">
        <w:t xml:space="preserve">a regra </w:t>
      </w:r>
      <w:r w:rsidR="00653E79">
        <w:t xml:space="preserve">constitucional </w:t>
      </w:r>
      <w:r w:rsidRPr="00BB1499">
        <w:t>não aument</w:t>
      </w:r>
      <w:r w:rsidR="00653E79">
        <w:t>ou</w:t>
      </w:r>
      <w:r w:rsidRPr="00BB1499">
        <w:t xml:space="preserve"> o valor total dos fundos</w:t>
      </w:r>
      <w:r w:rsidR="00653E79">
        <w:t xml:space="preserve">, mas </w:t>
      </w:r>
      <w:r w:rsidRPr="00BB1499">
        <w:t>mud</w:t>
      </w:r>
      <w:r w:rsidR="00653E79">
        <w:t xml:space="preserve">ou </w:t>
      </w:r>
      <w:r w:rsidRPr="00BB1499">
        <w:t xml:space="preserve">a forma de repartir uma parte deles. Considerando todos os anos agora listados, a redistribuição estimada é de </w:t>
      </w:r>
      <w:r w:rsidRPr="00BB1499">
        <w:rPr>
          <w:b/>
          <w:bCs/>
        </w:rPr>
        <w:t>R$ 110.856.906,91</w:t>
      </w:r>
      <w:r w:rsidRPr="00BB1499">
        <w:t>.</w:t>
      </w:r>
    </w:p>
    <w:p w14:paraId="010431C3" w14:textId="77777777" w:rsidR="00BB1499" w:rsidRPr="00BB1499" w:rsidRDefault="00BB1499" w:rsidP="0017479B">
      <w:pPr>
        <w:pStyle w:val="TTULOITEM1"/>
        <w:rPr>
          <w:snapToGrid w:val="0"/>
        </w:rPr>
      </w:pPr>
      <w:r w:rsidRPr="00BB1499">
        <w:rPr>
          <w:snapToGrid w:val="0"/>
        </w:rPr>
        <w:t>2. O que exatamente foi comparado</w:t>
      </w:r>
    </w:p>
    <w:p w14:paraId="18F5C83B" w14:textId="77777777" w:rsidR="00BB1499" w:rsidRPr="00BB1499" w:rsidRDefault="00BB1499" w:rsidP="00BB1499">
      <w:pPr>
        <w:pStyle w:val="CORPOPADRO"/>
      </w:pPr>
      <w:r w:rsidRPr="00BB1499">
        <w:t>A comparação parte de uma pergunta direta: quanto cada partido recebeu com a regra atual e quanto receberia se a EC nº 111/2021 não existisse? Para responder, o cálculo separa a parte dos fundos que depende dos votos para a Câmara dos Deputados e mantém inalteradas as partes calculadas por outros critérios.</w:t>
      </w:r>
    </w:p>
    <w:p w14:paraId="280F305D" w14:textId="77777777" w:rsidR="00BB1499" w:rsidRPr="00BB1499" w:rsidRDefault="00BB1499" w:rsidP="00BB1499">
      <w:pPr>
        <w:pStyle w:val="CORPOPADRO"/>
      </w:pPr>
      <w:r w:rsidRPr="00BB1499">
        <w:lastRenderedPageBreak/>
        <w:t xml:space="preserve">No </w:t>
      </w:r>
      <w:r w:rsidRPr="00BB1499">
        <w:rPr>
          <w:b/>
          <w:bCs/>
        </w:rPr>
        <w:t>Fundo Partidário</w:t>
      </w:r>
      <w:r w:rsidRPr="00BB1499">
        <w:t>, a parte sensível à EC é a mais relevante: 95% do total é distribuído conforme os votos obtidos na última eleição geral para a Câmara dos Deputados. Os 5% restantes têm regra igualitária e, por isso, não foram recalculados.</w:t>
      </w:r>
    </w:p>
    <w:p w14:paraId="59D52F9E" w14:textId="10AEA1EC" w:rsidR="00280061" w:rsidRDefault="00BB1499" w:rsidP="00BB1499">
      <w:pPr>
        <w:pStyle w:val="CORPOPADRO"/>
      </w:pPr>
      <w:r w:rsidRPr="00BB1499">
        <w:t xml:space="preserve">No </w:t>
      </w:r>
      <w:r w:rsidRPr="00BB1499">
        <w:rPr>
          <w:b/>
          <w:bCs/>
        </w:rPr>
        <w:t>FEFC</w:t>
      </w:r>
      <w:r w:rsidRPr="00BB1499">
        <w:t>, a parte sensível à EC é menor: 35% do total é distribuído conforme os votos para a Câmara. As demais partes do FEFC seguem outros critérios, como distribuição igualitária e tamanho das bancadas na Câmara e no Senado. Essas parcelas foram mantidas iguais nos dois cenários.</w:t>
      </w:r>
    </w:p>
    <w:tbl>
      <w:tblPr>
        <w:tblStyle w:val="SimplesTabela1"/>
        <w:tblW w:w="0" w:type="auto"/>
        <w:tblInd w:w="-5" w:type="dxa"/>
        <w:tblLook w:val="04A0" w:firstRow="1" w:lastRow="0" w:firstColumn="1" w:lastColumn="0" w:noHBand="0" w:noVBand="1"/>
      </w:tblPr>
      <w:tblGrid>
        <w:gridCol w:w="1526"/>
        <w:gridCol w:w="1750"/>
        <w:gridCol w:w="1501"/>
        <w:gridCol w:w="3722"/>
      </w:tblGrid>
      <w:tr w:rsidR="00BB1499" w:rsidRPr="00BB1499" w14:paraId="7197AD57" w14:textId="77777777" w:rsidTr="00280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01984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Fundo</w:t>
            </w:r>
          </w:p>
        </w:tc>
        <w:tc>
          <w:tcPr>
            <w:tcW w:w="0" w:type="auto"/>
            <w:vAlign w:val="center"/>
            <w:hideMark/>
          </w:tcPr>
          <w:p w14:paraId="74BF8A6F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Parcela usada no recálculo</w:t>
            </w:r>
          </w:p>
        </w:tc>
        <w:tc>
          <w:tcPr>
            <w:tcW w:w="0" w:type="auto"/>
            <w:vAlign w:val="center"/>
            <w:hideMark/>
          </w:tcPr>
          <w:p w14:paraId="732EA7FA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Parcela mantida igual</w:t>
            </w:r>
          </w:p>
        </w:tc>
        <w:tc>
          <w:tcPr>
            <w:tcW w:w="0" w:type="auto"/>
            <w:vAlign w:val="center"/>
            <w:hideMark/>
          </w:tcPr>
          <w:p w14:paraId="5FEF1223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Como ler</w:t>
            </w:r>
          </w:p>
        </w:tc>
      </w:tr>
      <w:tr w:rsidR="00BB1499" w:rsidRPr="00BB1499" w14:paraId="2CBFFD67" w14:textId="77777777" w:rsidTr="00280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E1E0A2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Fundo Partidário</w:t>
            </w:r>
          </w:p>
        </w:tc>
        <w:tc>
          <w:tcPr>
            <w:tcW w:w="0" w:type="auto"/>
            <w:vAlign w:val="center"/>
            <w:hideMark/>
          </w:tcPr>
          <w:p w14:paraId="0E7394C6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95%</w:t>
            </w:r>
          </w:p>
        </w:tc>
        <w:tc>
          <w:tcPr>
            <w:tcW w:w="0" w:type="auto"/>
            <w:vAlign w:val="center"/>
            <w:hideMark/>
          </w:tcPr>
          <w:p w14:paraId="031F3551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5%</w:t>
            </w:r>
          </w:p>
        </w:tc>
        <w:tc>
          <w:tcPr>
            <w:tcW w:w="0" w:type="auto"/>
            <w:vAlign w:val="center"/>
            <w:hideMark/>
          </w:tcPr>
          <w:p w14:paraId="5F4D1F8B" w14:textId="77777777" w:rsidR="00BB1499" w:rsidRPr="00BB1499" w:rsidRDefault="00BB1499" w:rsidP="0028006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A simulação troca apenas a forma de calcular a parte proporcional aos votos para a Câmara.</w:t>
            </w:r>
          </w:p>
        </w:tc>
      </w:tr>
      <w:tr w:rsidR="00BB1499" w:rsidRPr="00BB1499" w14:paraId="19EFE3EB" w14:textId="77777777" w:rsidTr="00280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692418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FEFC</w:t>
            </w:r>
          </w:p>
        </w:tc>
        <w:tc>
          <w:tcPr>
            <w:tcW w:w="0" w:type="auto"/>
            <w:vAlign w:val="center"/>
            <w:hideMark/>
          </w:tcPr>
          <w:p w14:paraId="489A9817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35%</w:t>
            </w:r>
          </w:p>
        </w:tc>
        <w:tc>
          <w:tcPr>
            <w:tcW w:w="0" w:type="auto"/>
            <w:vAlign w:val="center"/>
            <w:hideMark/>
          </w:tcPr>
          <w:p w14:paraId="6DC98F5B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65%</w:t>
            </w:r>
          </w:p>
        </w:tc>
        <w:tc>
          <w:tcPr>
            <w:tcW w:w="0" w:type="auto"/>
            <w:vAlign w:val="center"/>
            <w:hideMark/>
          </w:tcPr>
          <w:p w14:paraId="688D9090" w14:textId="77777777" w:rsidR="00BB1499" w:rsidRPr="00BB1499" w:rsidRDefault="00BB1499" w:rsidP="0028006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A simulação troca apenas a cota vinculada à votação para a Câmara; as demais cotas ficam iguais.</w:t>
            </w:r>
          </w:p>
        </w:tc>
      </w:tr>
    </w:tbl>
    <w:p w14:paraId="31BE5F15" w14:textId="6A09951D" w:rsidR="00280061" w:rsidRDefault="00280061" w:rsidP="00280061">
      <w:pPr>
        <w:pStyle w:val="CORPOPADRO"/>
        <w:ind w:firstLine="0"/>
      </w:pPr>
      <w:r w:rsidRPr="00280061">
        <w:rPr>
          <w:b/>
          <w:bCs/>
        </w:rPr>
        <w:t>Fonte:</w:t>
      </w:r>
      <w:r w:rsidRPr="00280061">
        <w:t xml:space="preserve"> quadro elaborado a partir da legislação que disciplina cada fundo: </w:t>
      </w:r>
      <w:hyperlink r:id="rId14" w:history="1">
        <w:r w:rsidRPr="00280061">
          <w:rPr>
            <w:rStyle w:val="Hyperlink"/>
          </w:rPr>
          <w:t>Lei nº 9.096/1995, art. 41-A</w:t>
        </w:r>
      </w:hyperlink>
      <w:r w:rsidRPr="00280061">
        <w:t xml:space="preserve">; </w:t>
      </w:r>
      <w:hyperlink r:id="rId15" w:history="1">
        <w:r w:rsidRPr="00280061">
          <w:rPr>
            <w:rStyle w:val="Hyperlink"/>
          </w:rPr>
          <w:t>Lei nº 9.504/1997, art. 16-D</w:t>
        </w:r>
      </w:hyperlink>
      <w:r w:rsidRPr="00280061">
        <w:t>.</w:t>
      </w:r>
    </w:p>
    <w:p w14:paraId="23076EA9" w14:textId="3FDA38B5" w:rsidR="00BB1499" w:rsidRPr="00BB1499" w:rsidRDefault="00BB1499" w:rsidP="00280061">
      <w:pPr>
        <w:pStyle w:val="TTULOITEM1"/>
        <w:rPr>
          <w:snapToGrid w:val="0"/>
        </w:rPr>
      </w:pPr>
      <w:r w:rsidRPr="00BB1499">
        <w:rPr>
          <w:snapToGrid w:val="0"/>
        </w:rPr>
        <w:t>3. Como ler os valores</w:t>
      </w:r>
    </w:p>
    <w:p w14:paraId="6F2D1D63" w14:textId="4F0CA5B4" w:rsidR="00BB1499" w:rsidRPr="00BB1499" w:rsidRDefault="00BB1499" w:rsidP="00BB1499">
      <w:pPr>
        <w:pStyle w:val="CORPOPADRO"/>
      </w:pPr>
      <w:r w:rsidRPr="00BB1499">
        <w:t xml:space="preserve">A coluna mais importante dos quadros é </w:t>
      </w:r>
      <w:r w:rsidRPr="00BB1499">
        <w:rPr>
          <w:b/>
          <w:bCs/>
        </w:rPr>
        <w:t>impacto da EC</w:t>
      </w:r>
      <w:r w:rsidRPr="00BB1499">
        <w:t xml:space="preserve">. Ela foi calculada segundo o </w:t>
      </w:r>
      <w:r w:rsidRPr="00BB1499">
        <w:rPr>
          <w:b/>
          <w:bCs/>
        </w:rPr>
        <w:t>valor atual com a EC menos valor simulado sem a EC</w:t>
      </w:r>
      <w:r w:rsidRPr="00BB1499">
        <w:t xml:space="preserve">. Desse modo, o sinal </w:t>
      </w:r>
      <w:r w:rsidR="00F2694C">
        <w:t xml:space="preserve">agregado ao valor acompanha a </w:t>
      </w:r>
      <w:r w:rsidRPr="00BB1499">
        <w:t>direção do efeito da emenda.</w:t>
      </w:r>
    </w:p>
    <w:p w14:paraId="30CD508F" w14:textId="77777777" w:rsidR="00BB1499" w:rsidRPr="00BB1499" w:rsidRDefault="00BB1499" w:rsidP="00BB1499">
      <w:pPr>
        <w:pStyle w:val="CORPOPADRO"/>
      </w:pPr>
      <w:r w:rsidRPr="00BB1499">
        <w:t xml:space="preserve">Se o impacto é </w:t>
      </w:r>
      <w:r w:rsidRPr="00BB1499">
        <w:rPr>
          <w:b/>
          <w:bCs/>
        </w:rPr>
        <w:t>positivo</w:t>
      </w:r>
      <w:r w:rsidRPr="00BB1499">
        <w:t xml:space="preserve">, o partido recebe mais no cenário atual, isto é, com a EC nº 111/2021. Se o impacto é </w:t>
      </w:r>
      <w:r w:rsidRPr="00BB1499">
        <w:rPr>
          <w:b/>
          <w:bCs/>
        </w:rPr>
        <w:t>negativo</w:t>
      </w:r>
      <w:r w:rsidRPr="00BB1499">
        <w:t xml:space="preserve">, o partido recebe menos </w:t>
      </w:r>
      <w:r w:rsidRPr="00BB1499">
        <w:lastRenderedPageBreak/>
        <w:t>no cenário atual do que receberia se a EC não existisse. Quando o impacto é zero, não há efeito financeiro naquele exercício ou para aquele partido.</w:t>
      </w:r>
    </w:p>
    <w:p w14:paraId="4F983F83" w14:textId="77777777" w:rsidR="00BB1499" w:rsidRPr="00BB1499" w:rsidRDefault="00BB1499" w:rsidP="00BB1499">
      <w:pPr>
        <w:pStyle w:val="CORPOPADRO"/>
      </w:pPr>
      <w:r w:rsidRPr="00BB1499">
        <w:t>Essa forma de apresentação evita uma confusão comum. A simulação não diz que o partido “perdeu dinheiro” no sentido de punição ou devolução. Ela mostra apenas como o mesmo montante seria dividido se os votos de mulheres e pessoas negras não tivessem peso dobrado no cálculo por força da EC nº 111/2021.</w:t>
      </w:r>
    </w:p>
    <w:p w14:paraId="1EC95BF5" w14:textId="77777777" w:rsidR="00BB1499" w:rsidRPr="00BB1499" w:rsidRDefault="00BB1499" w:rsidP="00C73B69">
      <w:pPr>
        <w:pStyle w:val="TTULOITEM1"/>
        <w:rPr>
          <w:snapToGrid w:val="0"/>
        </w:rPr>
      </w:pPr>
      <w:r w:rsidRPr="00BB1499">
        <w:rPr>
          <w:snapToGrid w:val="0"/>
        </w:rPr>
        <w:t>4. Bases usadas e cuidados metodológicos</w:t>
      </w:r>
    </w:p>
    <w:p w14:paraId="2DD997E7" w14:textId="77777777" w:rsidR="00BB1499" w:rsidRPr="00BB1499" w:rsidRDefault="00BB1499" w:rsidP="00BB1499">
      <w:pPr>
        <w:pStyle w:val="CORPOPADRO"/>
      </w:pPr>
      <w:r w:rsidRPr="00BB1499">
        <w:t>A simulação usa três grupos de dados oficiais do TSE. O primeiro é a votação nominal para deputado federal em 2022. O segundo é o perfil das candidaturas de 2022, usado para identificar gênero e raça/cor. O terceiro é composto pelas planilhas oficiais de distribuição do FEFC e do Fundo Partidário.</w:t>
      </w:r>
    </w:p>
    <w:p w14:paraId="0FA540DA" w14:textId="487FDA1B" w:rsidR="00BB1499" w:rsidRPr="00BB1499" w:rsidRDefault="00BB1499" w:rsidP="00BB1499">
      <w:pPr>
        <w:pStyle w:val="CORPOPADRO"/>
      </w:pPr>
      <w:r w:rsidRPr="00BB1499">
        <w:t xml:space="preserve">Alguns cuidados foram necessários para que a comparação fosse compreensível. Mulheres negras foram contadas uma única vez, e não em dobro, </w:t>
      </w:r>
      <w:r w:rsidR="00C73B69">
        <w:t>ou seja, “</w:t>
      </w:r>
      <w:r w:rsidRPr="00BB1499">
        <w:t>duas vezes</w:t>
      </w:r>
      <w:r w:rsidR="00C73B69">
        <w:t>”</w:t>
      </w:r>
      <w:r w:rsidRPr="00BB1499">
        <w:t xml:space="preserve">. Além disso, partidos que passaram por fusão, incorporação ou mudança de nome foram agregados ao partido sucessor: PTB e Patriota ao PRD; </w:t>
      </w:r>
      <w:proofErr w:type="gramStart"/>
      <w:r w:rsidRPr="00BB1499">
        <w:t>Pros</w:t>
      </w:r>
      <w:proofErr w:type="gramEnd"/>
      <w:r w:rsidRPr="00BB1499">
        <w:t xml:space="preserve"> ao Solidariedade; PSC ao Podemos; DEM e PSL ao União Brasil; PMN ao Mobiliza. Esse ajuste permite comparar a série em uma mesma estrutura partidária.</w:t>
      </w:r>
    </w:p>
    <w:p w14:paraId="51B5AD0E" w14:textId="7839B72D" w:rsidR="00BB1499" w:rsidRPr="00BB1499" w:rsidRDefault="00BB1499" w:rsidP="00BB1499">
      <w:pPr>
        <w:pStyle w:val="CORPOPADRO"/>
      </w:pPr>
      <w:r w:rsidRPr="00BB1499">
        <w:t xml:space="preserve">O ano de 2022 é peculiar e, por isso, foi retirado dos quadros financeiros. O FEFC de 2022 foi constituído e distribuído para aquela própria eleição, antes que os votos de 2022 para a Câmara pudessem servir de base para uma nova repartição; o Fundo Partidário de 2022, por sua vez, não reflete uma distribuição anual pela votação de 2022 ponderada pela EC nº 111/2021. Por isso, </w:t>
      </w:r>
      <w:r w:rsidR="00B27032">
        <w:t xml:space="preserve">a análise </w:t>
      </w:r>
      <w:r w:rsidRPr="00BB1499">
        <w:t>se concentra</w:t>
      </w:r>
      <w:r w:rsidR="00B27032">
        <w:t xml:space="preserve"> </w:t>
      </w:r>
      <w:r w:rsidRPr="00BB1499">
        <w:t xml:space="preserve">nos exercícios posteriores </w:t>
      </w:r>
      <w:r w:rsidR="00645872">
        <w:t xml:space="preserve">nos quais </w:t>
      </w:r>
      <w:r w:rsidRPr="00BB1499">
        <w:t xml:space="preserve">a votação </w:t>
      </w:r>
      <w:r w:rsidR="00645872">
        <w:t xml:space="preserve">efetiva </w:t>
      </w:r>
      <w:r w:rsidRPr="00BB1499">
        <w:t xml:space="preserve">de 2022 organiza a parcela proporcional </w:t>
      </w:r>
      <w:r w:rsidR="00645872">
        <w:t xml:space="preserve">dos </w:t>
      </w:r>
      <w:r w:rsidRPr="00BB1499">
        <w:t xml:space="preserve">votos </w:t>
      </w:r>
      <w:r w:rsidR="00645872">
        <w:t>n</w:t>
      </w:r>
      <w:r w:rsidRPr="00BB1499">
        <w:t>a Câmara</w:t>
      </w:r>
      <w:r w:rsidR="00645872">
        <w:t xml:space="preserve"> para divisão do fundo</w:t>
      </w:r>
      <w:r w:rsidRPr="00BB1499">
        <w:t>.</w:t>
      </w:r>
    </w:p>
    <w:p w14:paraId="41BCE553" w14:textId="59353F18" w:rsidR="00BB1499" w:rsidRPr="00BB1499" w:rsidRDefault="00BB1499" w:rsidP="00BB1499">
      <w:pPr>
        <w:pStyle w:val="CORPOPADRO"/>
      </w:pPr>
      <w:r w:rsidRPr="00BB1499">
        <w:rPr>
          <w:b/>
          <w:bCs/>
        </w:rPr>
        <w:lastRenderedPageBreak/>
        <w:t>Fonte</w:t>
      </w:r>
      <w:r w:rsidR="00B27032">
        <w:rPr>
          <w:b/>
          <w:bCs/>
        </w:rPr>
        <w:t>s</w:t>
      </w:r>
      <w:r w:rsidRPr="00BB1499">
        <w:rPr>
          <w:b/>
          <w:bCs/>
        </w:rPr>
        <w:t>:</w:t>
      </w:r>
      <w:r w:rsidRPr="00BB1499">
        <w:t xml:space="preserve"> bases oficiais usadas no cruzamento de dados: </w:t>
      </w:r>
      <w:hyperlink r:id="rId16" w:history="1">
        <w:r w:rsidRPr="00BB1499">
          <w:rPr>
            <w:rStyle w:val="Hyperlink"/>
          </w:rPr>
          <w:t>Dados Abertos do TSE</w:t>
        </w:r>
      </w:hyperlink>
      <w:r w:rsidRPr="00BB1499">
        <w:t xml:space="preserve">; </w:t>
      </w:r>
      <w:hyperlink r:id="rId17" w:history="1">
        <w:r w:rsidRPr="00BB1499">
          <w:rPr>
            <w:rStyle w:val="Hyperlink"/>
          </w:rPr>
          <w:t>FEFC 2022</w:t>
        </w:r>
      </w:hyperlink>
      <w:r w:rsidRPr="00BB1499">
        <w:t xml:space="preserve">; </w:t>
      </w:r>
      <w:hyperlink r:id="rId18" w:history="1">
        <w:r w:rsidRPr="00BB1499">
          <w:rPr>
            <w:rStyle w:val="Hyperlink"/>
          </w:rPr>
          <w:t>FEFC 2024</w:t>
        </w:r>
      </w:hyperlink>
      <w:r w:rsidRPr="00BB1499">
        <w:t xml:space="preserve">; </w:t>
      </w:r>
      <w:hyperlink r:id="rId19" w:history="1">
        <w:r w:rsidRPr="00BB1499">
          <w:rPr>
            <w:rStyle w:val="Hyperlink"/>
          </w:rPr>
          <w:t>Fundo Partidário 2022</w:t>
        </w:r>
      </w:hyperlink>
      <w:r w:rsidRPr="00BB1499">
        <w:t xml:space="preserve">; </w:t>
      </w:r>
      <w:hyperlink r:id="rId20" w:history="1">
        <w:r w:rsidRPr="00BB1499">
          <w:rPr>
            <w:rStyle w:val="Hyperlink"/>
          </w:rPr>
          <w:t>Fundo Partidário 2023</w:t>
        </w:r>
      </w:hyperlink>
      <w:r w:rsidRPr="00BB1499">
        <w:t xml:space="preserve">; </w:t>
      </w:r>
      <w:hyperlink r:id="rId21" w:history="1">
        <w:r w:rsidRPr="00BB1499">
          <w:rPr>
            <w:rStyle w:val="Hyperlink"/>
          </w:rPr>
          <w:t>Fundo Partidário 2024</w:t>
        </w:r>
      </w:hyperlink>
      <w:r w:rsidRPr="00BB1499">
        <w:t xml:space="preserve">; </w:t>
      </w:r>
      <w:hyperlink r:id="rId22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 w14:paraId="06B688EF" w14:textId="77777777" w:rsidR="00BB1499" w:rsidRPr="00BB1499" w:rsidRDefault="00BB1499" w:rsidP="00B27032">
      <w:pPr>
        <w:pStyle w:val="TTULOITEM1"/>
        <w:rPr>
          <w:snapToGrid w:val="0"/>
        </w:rPr>
      </w:pPr>
      <w:r w:rsidRPr="00BB1499">
        <w:rPr>
          <w:snapToGrid w:val="0"/>
        </w:rPr>
        <w:t>5. Constatações centrais</w:t>
      </w:r>
    </w:p>
    <w:p w14:paraId="23AFDBE5" w14:textId="5C792D9F" w:rsidR="00BB1499" w:rsidRPr="00BB1499" w:rsidRDefault="00BB1499" w:rsidP="00BB1499">
      <w:pPr>
        <w:pStyle w:val="CORPOPADRO"/>
      </w:pPr>
      <w:r w:rsidRPr="00BB1499">
        <w:t xml:space="preserve">A primeira constatação é que a regra tem efeito financeiro concreto </w:t>
      </w:r>
      <w:r w:rsidR="008C4693">
        <w:t xml:space="preserve">na </w:t>
      </w:r>
      <w:r w:rsidRPr="00BB1499">
        <w:t>parcela vinculada aos votos para a Câmara. A segunda constatação é que o efeito é concentrado</w:t>
      </w:r>
      <w:r w:rsidR="008C4693">
        <w:t xml:space="preserve"> em alguns partidos políticos</w:t>
      </w:r>
      <w:r w:rsidRPr="00BB1499">
        <w:t>. No conjunto dos anos recalculados, o PT e o PC do B aparecem entre os principais partidos beneficiados pelo cenário atual, enquanto o PSD aparece como o partido que mais receberia a mais caso todos os votos tivessem peso unitário.</w:t>
      </w:r>
    </w:p>
    <w:p w14:paraId="2C9393F8" w14:textId="1D17EC26" w:rsidR="00BB1499" w:rsidRPr="00BB1499" w:rsidRDefault="00BB1499" w:rsidP="00BB1499">
      <w:pPr>
        <w:pStyle w:val="CORPOPADRO"/>
      </w:pPr>
      <w:r w:rsidRPr="00BB1499">
        <w:t>A terceira constatação é que o resultado reflete escolhas partidárias anteriores. A EC premia, no cálculo financeiro, votos dados a candidaturas afirmativas que receberam apoio eleitoral</w:t>
      </w:r>
      <w:r w:rsidR="005B2498">
        <w:t xml:space="preserve"> nas urnas</w:t>
      </w:r>
      <w:r w:rsidRPr="00BB1499">
        <w:t>. Portanto, a regra não beneficia apenas o registro formal de candidaturas de mulheres e pessoas negras</w:t>
      </w:r>
      <w:r w:rsidR="005B2498">
        <w:t xml:space="preserve">, uma vez que </w:t>
      </w:r>
      <w:r w:rsidRPr="00BB1499">
        <w:t>beneficia partidos que conseguiram transformar essas candidaturas em votaç</w:t>
      </w:r>
      <w:r w:rsidR="005B2498">
        <w:t>ões</w:t>
      </w:r>
      <w:r w:rsidRPr="00BB1499">
        <w:t xml:space="preserve"> </w:t>
      </w:r>
      <w:r w:rsidR="005B2498">
        <w:t>viáveis no dia da eleição</w:t>
      </w:r>
      <w:r w:rsidRPr="00BB1499">
        <w:t>.</w:t>
      </w:r>
    </w:p>
    <w:p w14:paraId="34A05847" w14:textId="77777777" w:rsidR="00BB1499" w:rsidRPr="00BB1499" w:rsidRDefault="00BB1499" w:rsidP="00BB1499">
      <w:pPr>
        <w:pStyle w:val="CORPOPADRO"/>
      </w:pPr>
      <w:r w:rsidRPr="00BB1499">
        <w:t>Na tabela abaixo, cada linha corresponde a um exercício financeiro (FEFC ou Fundo Partidário). A leitura deve seguir as colunas da esquerda para a direita: começa-se pelo tamanho total do fundo naquele ano, isola-se a parcela que depende dos votos para a Câmara (a única sensível à EC nº 111/2021), mede-se quanto dinheiro mudou de partido por causa da contagem em dobro e, por fim, identifica-se o partido mais beneficiado e o mais reduzido.</w:t>
      </w:r>
    </w:p>
    <w:tbl>
      <w:tblPr>
        <w:tblStyle w:val="SimplesTabela1"/>
        <w:tblW w:w="10941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47"/>
        <w:gridCol w:w="2098"/>
        <w:gridCol w:w="2098"/>
        <w:gridCol w:w="1984"/>
        <w:gridCol w:w="1757"/>
        <w:gridCol w:w="1757"/>
      </w:tblGrid>
      <w:tr w:rsidR="00BB1499" w:rsidRPr="00361962" w14:paraId="685C6207" w14:textId="77777777" w:rsidTr="00675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066764B4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/ exercício</w:t>
            </w:r>
          </w:p>
        </w:tc>
        <w:tc>
          <w:tcPr>
            <w:tcW w:w="2098" w:type="dxa"/>
            <w:vAlign w:val="center"/>
            <w:hideMark/>
          </w:tcPr>
          <w:p w14:paraId="478EF6C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Total distribuído no ano</w:t>
            </w:r>
          </w:p>
        </w:tc>
        <w:tc>
          <w:tcPr>
            <w:tcW w:w="2098" w:type="dxa"/>
            <w:vAlign w:val="center"/>
            <w:hideMark/>
          </w:tcPr>
          <w:p w14:paraId="529D07C7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Parcela sensível à EC</w:t>
            </w:r>
          </w:p>
        </w:tc>
        <w:tc>
          <w:tcPr>
            <w:tcW w:w="1984" w:type="dxa"/>
            <w:vAlign w:val="center"/>
            <w:hideMark/>
          </w:tcPr>
          <w:p w14:paraId="6D4049F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Valor redistribuído (% sobre a parcela)</w:t>
            </w:r>
          </w:p>
        </w:tc>
        <w:tc>
          <w:tcPr>
            <w:tcW w:w="1757" w:type="dxa"/>
            <w:vAlign w:val="center"/>
            <w:hideMark/>
          </w:tcPr>
          <w:p w14:paraId="5661649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Partido mais beneficiado</w:t>
            </w:r>
          </w:p>
        </w:tc>
        <w:tc>
          <w:tcPr>
            <w:tcW w:w="1757" w:type="dxa"/>
            <w:vAlign w:val="center"/>
            <w:hideMark/>
          </w:tcPr>
          <w:p w14:paraId="715BC333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Partido mais reduzido</w:t>
            </w:r>
          </w:p>
        </w:tc>
      </w:tr>
      <w:tr w:rsidR="00BB1499" w:rsidRPr="00361962" w14:paraId="3234584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3B2992F7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Partidário 2023</w:t>
            </w:r>
          </w:p>
        </w:tc>
        <w:tc>
          <w:tcPr>
            <w:tcW w:w="2098" w:type="dxa"/>
            <w:hideMark/>
          </w:tcPr>
          <w:p w14:paraId="44F7E133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R$ 993.049.275,92</w:t>
            </w:r>
          </w:p>
        </w:tc>
        <w:tc>
          <w:tcPr>
            <w:tcW w:w="2098" w:type="dxa"/>
            <w:hideMark/>
          </w:tcPr>
          <w:p w14:paraId="748748B3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R$ 943.396.812,12 (95,00%)</w:t>
            </w:r>
          </w:p>
        </w:tc>
        <w:tc>
          <w:tcPr>
            <w:tcW w:w="1984" w:type="dxa"/>
            <w:hideMark/>
          </w:tcPr>
          <w:p w14:paraId="04FCFFCE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R$ 20.466.065,80 (2,17%)</w:t>
            </w:r>
          </w:p>
        </w:tc>
        <w:tc>
          <w:tcPr>
            <w:tcW w:w="1757" w:type="dxa"/>
            <w:hideMark/>
          </w:tcPr>
          <w:p w14:paraId="78EE3037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(+R$ 3.468.015,90)</w:t>
            </w:r>
          </w:p>
        </w:tc>
        <w:tc>
          <w:tcPr>
            <w:tcW w:w="1757" w:type="dxa"/>
            <w:hideMark/>
          </w:tcPr>
          <w:p w14:paraId="64BC9887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(-R$ 6.718.088,48)</w:t>
            </w:r>
          </w:p>
        </w:tc>
      </w:tr>
      <w:tr w:rsidR="00BB1499" w:rsidRPr="00361962" w14:paraId="5042E642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1D2B381E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lastRenderedPageBreak/>
              <w:t>Fundo Partidário 2024</w:t>
            </w:r>
          </w:p>
        </w:tc>
        <w:tc>
          <w:tcPr>
            <w:tcW w:w="2098" w:type="dxa"/>
            <w:hideMark/>
          </w:tcPr>
          <w:p w14:paraId="1E14A3B4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R$ 1.099.820.376,49</w:t>
            </w:r>
          </w:p>
        </w:tc>
        <w:tc>
          <w:tcPr>
            <w:tcW w:w="2098" w:type="dxa"/>
            <w:hideMark/>
          </w:tcPr>
          <w:p w14:paraId="18D8EAD6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R$ 1.044.829.357,67 (95,00%)</w:t>
            </w:r>
          </w:p>
        </w:tc>
        <w:tc>
          <w:tcPr>
            <w:tcW w:w="1984" w:type="dxa"/>
            <w:hideMark/>
          </w:tcPr>
          <w:p w14:paraId="54B5E14B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R$ 22.400.488,26 (2,14%)</w:t>
            </w:r>
          </w:p>
        </w:tc>
        <w:tc>
          <w:tcPr>
            <w:tcW w:w="1757" w:type="dxa"/>
            <w:hideMark/>
          </w:tcPr>
          <w:p w14:paraId="6090D402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(+R$ 3.872.492,38)</w:t>
            </w:r>
          </w:p>
        </w:tc>
        <w:tc>
          <w:tcPr>
            <w:tcW w:w="1757" w:type="dxa"/>
            <w:hideMark/>
          </w:tcPr>
          <w:p w14:paraId="2F2241CB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(-R$ 7.595.652,42)</w:t>
            </w:r>
          </w:p>
        </w:tc>
      </w:tr>
      <w:tr w:rsidR="00BB1499" w:rsidRPr="00361962" w14:paraId="42593DF2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31883FD4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FEFC 2024</w:t>
            </w:r>
          </w:p>
        </w:tc>
        <w:tc>
          <w:tcPr>
            <w:tcW w:w="2098" w:type="dxa"/>
            <w:hideMark/>
          </w:tcPr>
          <w:p w14:paraId="5305774A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R$ 4.961.519.777,00</w:t>
            </w:r>
          </w:p>
        </w:tc>
        <w:tc>
          <w:tcPr>
            <w:tcW w:w="2098" w:type="dxa"/>
            <w:hideMark/>
          </w:tcPr>
          <w:p w14:paraId="13BE3278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R$ 1.736.531.921,95 (35,00%)</w:t>
            </w:r>
          </w:p>
        </w:tc>
        <w:tc>
          <w:tcPr>
            <w:tcW w:w="1984" w:type="dxa"/>
            <w:hideMark/>
          </w:tcPr>
          <w:p w14:paraId="02A2DE3E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R$ 40.307.120,10 (2,32%)</w:t>
            </w:r>
          </w:p>
        </w:tc>
        <w:tc>
          <w:tcPr>
            <w:tcW w:w="1757" w:type="dxa"/>
            <w:hideMark/>
          </w:tcPr>
          <w:p w14:paraId="3D34B04A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PT (+R$ 13.872.644,96)</w:t>
            </w:r>
          </w:p>
        </w:tc>
        <w:tc>
          <w:tcPr>
            <w:tcW w:w="1757" w:type="dxa"/>
            <w:hideMark/>
          </w:tcPr>
          <w:p w14:paraId="295BD077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(-R$ 13.403.437,67)</w:t>
            </w:r>
          </w:p>
        </w:tc>
      </w:tr>
      <w:tr w:rsidR="00BB1499" w:rsidRPr="00361962" w14:paraId="449F286D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74AA4926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Partidário 2025</w:t>
            </w:r>
          </w:p>
        </w:tc>
        <w:tc>
          <w:tcPr>
            <w:tcW w:w="2098" w:type="dxa"/>
            <w:hideMark/>
          </w:tcPr>
          <w:p w14:paraId="43C527A6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R$ 1.126.071.496,13</w:t>
            </w:r>
          </w:p>
        </w:tc>
        <w:tc>
          <w:tcPr>
            <w:tcW w:w="2098" w:type="dxa"/>
            <w:hideMark/>
          </w:tcPr>
          <w:p w14:paraId="7D8ED40E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R$ 1.069.767.921,32 (95,00%)</w:t>
            </w:r>
          </w:p>
        </w:tc>
        <w:tc>
          <w:tcPr>
            <w:tcW w:w="1984" w:type="dxa"/>
            <w:hideMark/>
          </w:tcPr>
          <w:p w14:paraId="6B6A2B99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R$ 22.935.155,48 (2,14%)</w:t>
            </w:r>
          </w:p>
        </w:tc>
        <w:tc>
          <w:tcPr>
            <w:tcW w:w="1757" w:type="dxa"/>
            <w:hideMark/>
          </w:tcPr>
          <w:p w14:paraId="63177900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(+R$ 3.964.923,16)</w:t>
            </w:r>
          </w:p>
        </w:tc>
        <w:tc>
          <w:tcPr>
            <w:tcW w:w="1757" w:type="dxa"/>
            <w:hideMark/>
          </w:tcPr>
          <w:p w14:paraId="1689EEE9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(-R$ 7.776.949,65)</w:t>
            </w:r>
          </w:p>
        </w:tc>
      </w:tr>
      <w:tr w:rsidR="00BB1499" w:rsidRPr="00361962" w14:paraId="3B01D96F" w14:textId="77777777" w:rsidTr="00675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28DEB7E3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Total no período</w:t>
            </w:r>
          </w:p>
        </w:tc>
        <w:tc>
          <w:tcPr>
            <w:tcW w:w="2098" w:type="dxa"/>
            <w:hideMark/>
          </w:tcPr>
          <w:p w14:paraId="03415496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R$ 8.180.460.925,54</w:t>
            </w:r>
          </w:p>
        </w:tc>
        <w:tc>
          <w:tcPr>
            <w:tcW w:w="2098" w:type="dxa"/>
            <w:hideMark/>
          </w:tcPr>
          <w:p w14:paraId="7C56BF27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R$ 4.794.526.013,06</w:t>
            </w:r>
          </w:p>
        </w:tc>
        <w:tc>
          <w:tcPr>
            <w:tcW w:w="1984" w:type="dxa"/>
            <w:hideMark/>
          </w:tcPr>
          <w:p w14:paraId="26F03202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R$ 106.108.829,64 (2,21%)</w:t>
            </w:r>
          </w:p>
        </w:tc>
        <w:tc>
          <w:tcPr>
            <w:tcW w:w="1757" w:type="dxa"/>
            <w:hideMark/>
          </w:tcPr>
          <w:p w14:paraId="67BB446D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-</w:t>
            </w:r>
          </w:p>
        </w:tc>
        <w:tc>
          <w:tcPr>
            <w:tcW w:w="1757" w:type="dxa"/>
            <w:hideMark/>
          </w:tcPr>
          <w:p w14:paraId="163CF14D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-</w:t>
            </w:r>
          </w:p>
        </w:tc>
      </w:tr>
    </w:tbl>
    <w:p w14:paraId="27A5C60A" w14:textId="72C7791D" w:rsidR="00780762" w:rsidRPr="00BB1499" w:rsidRDefault="00780762" w:rsidP="00780762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síntese calculada a partir das planilhas oficiais do TSE: </w:t>
      </w:r>
      <w:hyperlink r:id="rId23" w:history="1">
        <w:r w:rsidRPr="00BB1499">
          <w:rPr>
            <w:rStyle w:val="Hyperlink"/>
          </w:rPr>
          <w:t>Dados Abertos do TSE</w:t>
        </w:r>
      </w:hyperlink>
      <w:r w:rsidRPr="00BB1499">
        <w:t xml:space="preserve">; </w:t>
      </w:r>
      <w:hyperlink r:id="rId24" w:history="1">
        <w:r w:rsidRPr="00BB1499">
          <w:rPr>
            <w:rStyle w:val="Hyperlink"/>
          </w:rPr>
          <w:t>FEFC 2024</w:t>
        </w:r>
      </w:hyperlink>
      <w:r w:rsidRPr="00BB1499">
        <w:t xml:space="preserve">; </w:t>
      </w:r>
      <w:hyperlink r:id="rId25" w:history="1">
        <w:r w:rsidRPr="00BB1499">
          <w:rPr>
            <w:rStyle w:val="Hyperlink"/>
          </w:rPr>
          <w:t>Fundo Partidário 2023</w:t>
        </w:r>
      </w:hyperlink>
      <w:r w:rsidRPr="00BB1499">
        <w:t xml:space="preserve">; </w:t>
      </w:r>
      <w:hyperlink r:id="rId26" w:history="1">
        <w:r w:rsidRPr="00BB1499">
          <w:rPr>
            <w:rStyle w:val="Hyperlink"/>
          </w:rPr>
          <w:t>Fundo Partidário 2024</w:t>
        </w:r>
      </w:hyperlink>
      <w:r w:rsidRPr="00BB1499">
        <w:t xml:space="preserve">; </w:t>
      </w:r>
      <w:hyperlink r:id="rId27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 w14:paraId="2BBF1AC2" w14:textId="66EBA409" w:rsidR="00BB1499" w:rsidRPr="00BB1499" w:rsidRDefault="00BB1499" w:rsidP="00BB1499">
      <w:pPr>
        <w:pStyle w:val="CORPOPADRO"/>
      </w:pPr>
      <w:r w:rsidRPr="00BB1499">
        <w:t>Em todos os exercícios simulados, o volume redistribuído pela EC fica em torno de 2% a 2,3% da parcela sensível. O PSD aparece como o partido sistematicamente mais reduzido pela regra atual nos quatro exercícios, enquanto o PC do B lidera os ganhos no Fundo Partidário (todos os três anos) e o PT lidera no FEFC 2024</w:t>
      </w:r>
      <w:r w:rsidR="00234606">
        <w:t>.</w:t>
      </w:r>
    </w:p>
    <w:p w14:paraId="5D725C5E" w14:textId="77777777" w:rsidR="00BB1499" w:rsidRPr="00BB1499" w:rsidRDefault="00BB1499" w:rsidP="00234606">
      <w:pPr>
        <w:pStyle w:val="TTULOITEM1"/>
        <w:rPr>
          <w:snapToGrid w:val="0"/>
        </w:rPr>
      </w:pPr>
      <w:r w:rsidRPr="00BB1499">
        <w:rPr>
          <w:snapToGrid w:val="0"/>
        </w:rPr>
        <w:t>6. Maiores impactos no conjunto dos dois fundos</w:t>
      </w:r>
    </w:p>
    <w:p w14:paraId="074E7578" w14:textId="6249D52A" w:rsidR="00BB1499" w:rsidRPr="00BB1499" w:rsidRDefault="00BB1499" w:rsidP="00BB1499">
      <w:pPr>
        <w:pStyle w:val="CORPOPADRO"/>
      </w:pPr>
      <w:r w:rsidRPr="00BB1499">
        <w:t>O quadro desta seção soma os exercícios em que houve efeito financeiro a simular</w:t>
      </w:r>
      <w:r w:rsidR="003D6D67">
        <w:t xml:space="preserve"> por partido</w:t>
      </w:r>
      <w:r w:rsidRPr="00BB1499">
        <w:t xml:space="preserve">: FEFC 2024 e Fundo Partidário 2023, 2024 e 2025. Cada linha anual mostra como o dinheiro foi distribuído e como ficaria sem a contagem em dobro. Ao somar as linhas, obtém-se o efeito acumulado </w:t>
      </w:r>
      <w:r w:rsidR="003D6D67">
        <w:t xml:space="preserve">em cada agremiação </w:t>
      </w:r>
      <w:r w:rsidRPr="00BB1499">
        <w:t>no período analisado.</w:t>
      </w:r>
    </w:p>
    <w:p w14:paraId="748C3257" w14:textId="01C5025D" w:rsidR="00BB1499" w:rsidRPr="00BB1499" w:rsidRDefault="00BB1499" w:rsidP="003D6D67">
      <w:pPr>
        <w:pStyle w:val="TTULOSUBITEM11"/>
      </w:pPr>
      <w:r w:rsidRPr="00BB1499">
        <w:t>6.1 Partidos que recebem a mais no cenário atual</w:t>
      </w:r>
    </w:p>
    <w:tbl>
      <w:tblPr>
        <w:tblStyle w:val="SimplesTabela1"/>
        <w:tblW w:w="9233" w:type="dxa"/>
        <w:tblInd w:w="-431" w:type="dxa"/>
        <w:tblLook w:val="04A0" w:firstRow="1" w:lastRow="0" w:firstColumn="1" w:lastColumn="0" w:noHBand="0" w:noVBand="1"/>
      </w:tblPr>
      <w:tblGrid>
        <w:gridCol w:w="2203"/>
        <w:gridCol w:w="2494"/>
        <w:gridCol w:w="2268"/>
        <w:gridCol w:w="2268"/>
      </w:tblGrid>
      <w:tr w:rsidR="00BB1499" w:rsidRPr="00BB1499" w14:paraId="56127604" w14:textId="77777777" w:rsidTr="005F0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4347B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Partido</w:t>
            </w:r>
          </w:p>
        </w:tc>
        <w:tc>
          <w:tcPr>
            <w:tcW w:w="2494" w:type="dxa"/>
            <w:hideMark/>
          </w:tcPr>
          <w:p w14:paraId="220E3CB6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hideMark/>
          </w:tcPr>
          <w:p w14:paraId="173BC66C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268" w:type="dxa"/>
            <w:hideMark/>
          </w:tcPr>
          <w:p w14:paraId="6B37C877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</w:tr>
      <w:tr w:rsidR="00BB1499" w:rsidRPr="00BB1499" w14:paraId="117DB908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649CD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494" w:type="dxa"/>
            <w:hideMark/>
          </w:tcPr>
          <w:p w14:paraId="2C8A08DA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R$ 1.020.418.315,47</w:t>
            </w:r>
          </w:p>
        </w:tc>
        <w:tc>
          <w:tcPr>
            <w:tcW w:w="2268" w:type="dxa"/>
            <w:hideMark/>
          </w:tcPr>
          <w:p w14:paraId="468262B2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R$ 998.034.223,50</w:t>
            </w:r>
          </w:p>
        </w:tc>
        <w:tc>
          <w:tcPr>
            <w:tcW w:w="2268" w:type="dxa"/>
            <w:hideMark/>
          </w:tcPr>
          <w:p w14:paraId="131115CB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+R$ 22.384.091,97</w:t>
            </w:r>
          </w:p>
        </w:tc>
      </w:tr>
      <w:tr w:rsidR="00BB1499" w:rsidRPr="00BB1499" w14:paraId="6155AEC1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28CC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lastRenderedPageBreak/>
              <w:t>PC do B</w:t>
            </w:r>
          </w:p>
        </w:tc>
        <w:tc>
          <w:tcPr>
            <w:tcW w:w="2494" w:type="dxa"/>
            <w:hideMark/>
          </w:tcPr>
          <w:p w14:paraId="1599D92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R$ 109.374.390,92</w:t>
            </w:r>
          </w:p>
        </w:tc>
        <w:tc>
          <w:tcPr>
            <w:tcW w:w="2268" w:type="dxa"/>
            <w:hideMark/>
          </w:tcPr>
          <w:p w14:paraId="4A2B713F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R$ 91.787.779,06</w:t>
            </w:r>
          </w:p>
        </w:tc>
        <w:tc>
          <w:tcPr>
            <w:tcW w:w="2268" w:type="dxa"/>
            <w:hideMark/>
          </w:tcPr>
          <w:p w14:paraId="7FA468CE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+R$ 17.586.611,86</w:t>
            </w:r>
          </w:p>
        </w:tc>
      </w:tr>
      <w:tr w:rsidR="00BB1499" w:rsidRPr="00BB1499" w14:paraId="21858B5E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E0F23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494" w:type="dxa"/>
            <w:hideMark/>
          </w:tcPr>
          <w:p w14:paraId="2F377035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R$ 262.732.201,08</w:t>
            </w:r>
          </w:p>
        </w:tc>
        <w:tc>
          <w:tcPr>
            <w:tcW w:w="2268" w:type="dxa"/>
            <w:hideMark/>
          </w:tcPr>
          <w:p w14:paraId="7CD86775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R$ 247.631.413,09</w:t>
            </w:r>
          </w:p>
        </w:tc>
        <w:tc>
          <w:tcPr>
            <w:tcW w:w="2268" w:type="dxa"/>
            <w:hideMark/>
          </w:tcPr>
          <w:p w14:paraId="1505FB47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+R$ 15.100.788,00</w:t>
            </w:r>
          </w:p>
        </w:tc>
      </w:tr>
      <w:tr w:rsidR="00BB1499" w:rsidRPr="00BB1499" w14:paraId="77A3B485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4DF2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494" w:type="dxa"/>
            <w:hideMark/>
          </w:tcPr>
          <w:p w14:paraId="0CFB0A9E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R$ 291.058.031,81</w:t>
            </w:r>
          </w:p>
        </w:tc>
        <w:tc>
          <w:tcPr>
            <w:tcW w:w="2268" w:type="dxa"/>
            <w:hideMark/>
          </w:tcPr>
          <w:p w14:paraId="15D310BD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R$ 279.334.433,75</w:t>
            </w:r>
          </w:p>
        </w:tc>
        <w:tc>
          <w:tcPr>
            <w:tcW w:w="2268" w:type="dxa"/>
            <w:hideMark/>
          </w:tcPr>
          <w:p w14:paraId="5D35E51F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+R$ 11.723.598,06</w:t>
            </w:r>
          </w:p>
        </w:tc>
      </w:tr>
      <w:tr w:rsidR="00BB1499" w:rsidRPr="00BB1499" w14:paraId="53C2D0C2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13F7C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494" w:type="dxa"/>
            <w:hideMark/>
          </w:tcPr>
          <w:p w14:paraId="6DFD6AE9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R$ 587.423.750,39</w:t>
            </w:r>
          </w:p>
        </w:tc>
        <w:tc>
          <w:tcPr>
            <w:tcW w:w="2268" w:type="dxa"/>
            <w:hideMark/>
          </w:tcPr>
          <w:p w14:paraId="2DFB57F1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R$ 577.316.780,42</w:t>
            </w:r>
          </w:p>
        </w:tc>
        <w:tc>
          <w:tcPr>
            <w:tcW w:w="2268" w:type="dxa"/>
            <w:hideMark/>
          </w:tcPr>
          <w:p w14:paraId="1E699697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+R$ 10.106.969,98</w:t>
            </w:r>
          </w:p>
        </w:tc>
      </w:tr>
      <w:tr w:rsidR="00BB1499" w:rsidRPr="00BB1499" w14:paraId="15947C89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7B44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494" w:type="dxa"/>
            <w:hideMark/>
          </w:tcPr>
          <w:p w14:paraId="79B8C2E8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R$ 291.287.856,84</w:t>
            </w:r>
          </w:p>
        </w:tc>
        <w:tc>
          <w:tcPr>
            <w:tcW w:w="2268" w:type="dxa"/>
            <w:hideMark/>
          </w:tcPr>
          <w:p w14:paraId="401A2B0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R$ 282.774.506,83</w:t>
            </w:r>
          </w:p>
        </w:tc>
        <w:tc>
          <w:tcPr>
            <w:tcW w:w="2268" w:type="dxa"/>
            <w:hideMark/>
          </w:tcPr>
          <w:p w14:paraId="46F08E6B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+R$ 8.513.350,01</w:t>
            </w:r>
          </w:p>
        </w:tc>
      </w:tr>
      <w:tr w:rsidR="00BB1499" w:rsidRPr="00BB1499" w14:paraId="0E8B91AD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A4931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494" w:type="dxa"/>
            <w:hideMark/>
          </w:tcPr>
          <w:p w14:paraId="7A56CA31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R$ 162.329.429,56</w:t>
            </w:r>
          </w:p>
        </w:tc>
        <w:tc>
          <w:tcPr>
            <w:tcW w:w="2268" w:type="dxa"/>
            <w:hideMark/>
          </w:tcPr>
          <w:p w14:paraId="6E97C17E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R$ 153.999.764,25</w:t>
            </w:r>
          </w:p>
        </w:tc>
        <w:tc>
          <w:tcPr>
            <w:tcW w:w="2268" w:type="dxa"/>
            <w:hideMark/>
          </w:tcPr>
          <w:p w14:paraId="4EE6FD2D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+R$ 8.329.665,32</w:t>
            </w:r>
          </w:p>
        </w:tc>
      </w:tr>
      <w:tr w:rsidR="00BB1499" w:rsidRPr="00BB1499" w14:paraId="7DE34DDB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043A9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UNIÃO</w:t>
            </w:r>
          </w:p>
        </w:tc>
        <w:tc>
          <w:tcPr>
            <w:tcW w:w="2494" w:type="dxa"/>
            <w:hideMark/>
          </w:tcPr>
          <w:p w14:paraId="57106B82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R$ 855.419.350,69</w:t>
            </w:r>
          </w:p>
        </w:tc>
        <w:tc>
          <w:tcPr>
            <w:tcW w:w="2268" w:type="dxa"/>
            <w:hideMark/>
          </w:tcPr>
          <w:p w14:paraId="2BF92E26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R$ 851.019.201,87</w:t>
            </w:r>
          </w:p>
        </w:tc>
        <w:tc>
          <w:tcPr>
            <w:tcW w:w="2268" w:type="dxa"/>
            <w:hideMark/>
          </w:tcPr>
          <w:p w14:paraId="116C2C1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+R$ 4.400.148,82</w:t>
            </w:r>
          </w:p>
        </w:tc>
      </w:tr>
    </w:tbl>
    <w:p w14:paraId="142EC7EB" w14:textId="39CD3FD7" w:rsidR="00BB1499" w:rsidRPr="00BB1499" w:rsidRDefault="00BB1499" w:rsidP="0080547C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consolidação por partido, com soma de todos os anos (2023-2025) e fundos listados nesta seção: </w:t>
      </w:r>
      <w:hyperlink r:id="rId28" w:history="1">
        <w:r w:rsidR="005F039D">
          <w:rPr>
            <w:rStyle w:val="Hyperlink"/>
          </w:rPr>
          <w:t xml:space="preserve">Porta de dados abertos </w:t>
        </w:r>
        <w:r w:rsidRPr="00BB1499">
          <w:rPr>
            <w:rStyle w:val="Hyperlink"/>
          </w:rPr>
          <w:t>do TSE</w:t>
        </w:r>
      </w:hyperlink>
      <w:r w:rsidRPr="00BB1499">
        <w:t>.</w:t>
      </w:r>
    </w:p>
    <w:p w14:paraId="61B83180" w14:textId="77777777" w:rsidR="00BB1499" w:rsidRPr="00BB1499" w:rsidRDefault="00BB1499" w:rsidP="00700633">
      <w:pPr>
        <w:pStyle w:val="TTULOSUBITEM11"/>
      </w:pPr>
      <w:r w:rsidRPr="00BB1499">
        <w:t>6.2 Partidos que receberiam mais sem a EC nº 111/2021</w:t>
      </w:r>
    </w:p>
    <w:tbl>
      <w:tblPr>
        <w:tblStyle w:val="SimplesTabela1"/>
        <w:tblW w:w="8762" w:type="dxa"/>
        <w:tblLook w:val="04A0" w:firstRow="1" w:lastRow="0" w:firstColumn="1" w:lastColumn="0" w:noHBand="0" w:noVBand="1"/>
      </w:tblPr>
      <w:tblGrid>
        <w:gridCol w:w="1563"/>
        <w:gridCol w:w="2494"/>
        <w:gridCol w:w="2494"/>
        <w:gridCol w:w="2211"/>
      </w:tblGrid>
      <w:tr w:rsidR="00BB1499" w:rsidRPr="00BB1499" w14:paraId="560D4C29" w14:textId="77777777" w:rsidTr="00700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FDF01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Partido</w:t>
            </w:r>
          </w:p>
        </w:tc>
        <w:tc>
          <w:tcPr>
            <w:tcW w:w="2494" w:type="dxa"/>
            <w:hideMark/>
          </w:tcPr>
          <w:p w14:paraId="7D2B0B97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494" w:type="dxa"/>
            <w:hideMark/>
          </w:tcPr>
          <w:p w14:paraId="7768A526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211" w:type="dxa"/>
            <w:hideMark/>
          </w:tcPr>
          <w:p w14:paraId="0494A868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</w:tr>
      <w:tr w:rsidR="00BB1499" w:rsidRPr="00BB1499" w14:paraId="110EE179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AB71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494" w:type="dxa"/>
            <w:hideMark/>
          </w:tcPr>
          <w:p w14:paraId="5AD0F32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R$ 660.986.053,44</w:t>
            </w:r>
          </w:p>
        </w:tc>
        <w:tc>
          <w:tcPr>
            <w:tcW w:w="2494" w:type="dxa"/>
            <w:hideMark/>
          </w:tcPr>
          <w:p w14:paraId="1D0C141B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R$ 696.480.181,66</w:t>
            </w:r>
          </w:p>
        </w:tc>
        <w:tc>
          <w:tcPr>
            <w:tcW w:w="2211" w:type="dxa"/>
            <w:hideMark/>
          </w:tcPr>
          <w:p w14:paraId="736BFE7C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-R$ 35.494.128,22</w:t>
            </w:r>
          </w:p>
        </w:tc>
      </w:tr>
      <w:tr w:rsidR="00BB1499" w:rsidRPr="00BB1499" w14:paraId="607BC799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C8D57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494" w:type="dxa"/>
            <w:hideMark/>
          </w:tcPr>
          <w:p w14:paraId="47F706CA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R$ 219.339.659,00</w:t>
            </w:r>
          </w:p>
        </w:tc>
        <w:tc>
          <w:tcPr>
            <w:tcW w:w="2494" w:type="dxa"/>
            <w:hideMark/>
          </w:tcPr>
          <w:p w14:paraId="6ACC5876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R$ 234.579.925,23</w:t>
            </w:r>
          </w:p>
        </w:tc>
        <w:tc>
          <w:tcPr>
            <w:tcW w:w="2211" w:type="dxa"/>
            <w:hideMark/>
          </w:tcPr>
          <w:p w14:paraId="3C6A98FC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-R$ 15.240.266,23</w:t>
            </w:r>
          </w:p>
        </w:tc>
      </w:tr>
      <w:tr w:rsidR="00BB1499" w:rsidRPr="00BB1499" w14:paraId="437F1EDF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52070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494" w:type="dxa"/>
            <w:hideMark/>
          </w:tcPr>
          <w:p w14:paraId="64DA12B8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R$ 641.576.579,36</w:t>
            </w:r>
          </w:p>
        </w:tc>
        <w:tc>
          <w:tcPr>
            <w:tcW w:w="2494" w:type="dxa"/>
            <w:hideMark/>
          </w:tcPr>
          <w:p w14:paraId="1D0D193A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R$ 655.761.560,40</w:t>
            </w:r>
          </w:p>
        </w:tc>
        <w:tc>
          <w:tcPr>
            <w:tcW w:w="2211" w:type="dxa"/>
            <w:hideMark/>
          </w:tcPr>
          <w:p w14:paraId="1A8D8DA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-R$ 14.184.981,04</w:t>
            </w:r>
          </w:p>
        </w:tc>
      </w:tr>
      <w:tr w:rsidR="00BB1499" w:rsidRPr="00BB1499" w14:paraId="45DAD050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0327D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494" w:type="dxa"/>
            <w:hideMark/>
          </w:tcPr>
          <w:p w14:paraId="142DF1AE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R$ 1.403.854.041,80</w:t>
            </w:r>
          </w:p>
        </w:tc>
        <w:tc>
          <w:tcPr>
            <w:tcW w:w="2494" w:type="dxa"/>
            <w:hideMark/>
          </w:tcPr>
          <w:p w14:paraId="419D54E3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R$ 1.416.954.220,52</w:t>
            </w:r>
          </w:p>
        </w:tc>
        <w:tc>
          <w:tcPr>
            <w:tcW w:w="2211" w:type="dxa"/>
            <w:hideMark/>
          </w:tcPr>
          <w:p w14:paraId="4BCE568A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-R$ 13.100.178,72</w:t>
            </w:r>
          </w:p>
        </w:tc>
      </w:tr>
      <w:tr w:rsidR="00BB1499" w:rsidRPr="00BB1499" w14:paraId="6FEC9380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66147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494" w:type="dxa"/>
            <w:hideMark/>
          </w:tcPr>
          <w:p w14:paraId="367EE74A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R$ 387.932.733,64</w:t>
            </w:r>
          </w:p>
        </w:tc>
        <w:tc>
          <w:tcPr>
            <w:tcW w:w="2494" w:type="dxa"/>
            <w:hideMark/>
          </w:tcPr>
          <w:p w14:paraId="3D7BDD85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R$ 400.067.460,17</w:t>
            </w:r>
          </w:p>
        </w:tc>
        <w:tc>
          <w:tcPr>
            <w:tcW w:w="2211" w:type="dxa"/>
            <w:hideMark/>
          </w:tcPr>
          <w:p w14:paraId="53EE16C6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-R$ 12.134.726,54</w:t>
            </w:r>
          </w:p>
        </w:tc>
      </w:tr>
      <w:tr w:rsidR="00BB1499" w:rsidRPr="00BB1499" w14:paraId="24E5407B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9314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494" w:type="dxa"/>
            <w:hideMark/>
          </w:tcPr>
          <w:p w14:paraId="728E5096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R$ 155.174.511,04</w:t>
            </w:r>
          </w:p>
        </w:tc>
        <w:tc>
          <w:tcPr>
            <w:tcW w:w="2494" w:type="dxa"/>
            <w:hideMark/>
          </w:tcPr>
          <w:p w14:paraId="58B68107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R$ 161.609.768,64</w:t>
            </w:r>
          </w:p>
        </w:tc>
        <w:tc>
          <w:tcPr>
            <w:tcW w:w="2211" w:type="dxa"/>
            <w:hideMark/>
          </w:tcPr>
          <w:p w14:paraId="6C80D12B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-R$ 6.435.257,60</w:t>
            </w:r>
          </w:p>
        </w:tc>
      </w:tr>
      <w:tr w:rsidR="00BB1499" w:rsidRPr="00BB1499" w14:paraId="013B87FA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76ADB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494" w:type="dxa"/>
            <w:hideMark/>
          </w:tcPr>
          <w:p w14:paraId="0DFB019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R$ 97.375.136,21</w:t>
            </w:r>
          </w:p>
        </w:tc>
        <w:tc>
          <w:tcPr>
            <w:tcW w:w="2494" w:type="dxa"/>
            <w:hideMark/>
          </w:tcPr>
          <w:p w14:paraId="7177DF6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R$ 101.625.645,91</w:t>
            </w:r>
          </w:p>
        </w:tc>
        <w:tc>
          <w:tcPr>
            <w:tcW w:w="2211" w:type="dxa"/>
            <w:hideMark/>
          </w:tcPr>
          <w:p w14:paraId="1EC185ED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-R$ 4.250.509,70</w:t>
            </w:r>
          </w:p>
        </w:tc>
      </w:tr>
      <w:tr w:rsidR="00BB1499" w:rsidRPr="00BB1499" w14:paraId="05928B1E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C421B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494" w:type="dxa"/>
            <w:hideMark/>
          </w:tcPr>
          <w:p w14:paraId="13E1002C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R$ 80.892.442,17</w:t>
            </w:r>
          </w:p>
        </w:tc>
        <w:tc>
          <w:tcPr>
            <w:tcW w:w="2494" w:type="dxa"/>
            <w:hideMark/>
          </w:tcPr>
          <w:p w14:paraId="39D04850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R$ 84.175.472,42</w:t>
            </w:r>
          </w:p>
        </w:tc>
        <w:tc>
          <w:tcPr>
            <w:tcW w:w="2211" w:type="dxa"/>
            <w:hideMark/>
          </w:tcPr>
          <w:p w14:paraId="067304F9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-R$ 3.283.030,25</w:t>
            </w:r>
          </w:p>
        </w:tc>
      </w:tr>
    </w:tbl>
    <w:p w14:paraId="61EFBC63" w14:textId="6CF66EFD" w:rsidR="00BB1499" w:rsidRPr="00BB1499" w:rsidRDefault="00BB1499" w:rsidP="00700633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mesma consolidação da tabela anterior, agora ordenada pelos valores negativos da coluna de impacto: </w:t>
      </w:r>
      <w:hyperlink r:id="rId29" w:history="1">
        <w:r w:rsidR="00700633">
          <w:rPr>
            <w:rStyle w:val="Hyperlink"/>
          </w:rPr>
          <w:t xml:space="preserve">Portal de dados abertos </w:t>
        </w:r>
        <w:r w:rsidRPr="00BB1499">
          <w:rPr>
            <w:rStyle w:val="Hyperlink"/>
          </w:rPr>
          <w:t>do TSE</w:t>
        </w:r>
      </w:hyperlink>
      <w:r w:rsidRPr="00BB1499">
        <w:t>.</w:t>
      </w:r>
    </w:p>
    <w:p w14:paraId="451B0E89" w14:textId="77777777" w:rsidR="00BB1499" w:rsidRPr="00BB1499" w:rsidRDefault="00BB1499" w:rsidP="00700633">
      <w:pPr>
        <w:pStyle w:val="TTULOITEM1"/>
        <w:rPr>
          <w:snapToGrid w:val="0"/>
        </w:rPr>
      </w:pPr>
      <w:r w:rsidRPr="00BB1499">
        <w:rPr>
          <w:snapToGrid w:val="0"/>
        </w:rPr>
        <w:t>7. Quadros comparativos por fundo</w:t>
      </w:r>
    </w:p>
    <w:p w14:paraId="3A097F2D" w14:textId="77777777" w:rsidR="00BB1499" w:rsidRPr="00BB1499" w:rsidRDefault="00BB1499" w:rsidP="00BB1499">
      <w:pPr>
        <w:pStyle w:val="CORPOPADRO"/>
      </w:pPr>
      <w:r w:rsidRPr="00BB1499">
        <w:t xml:space="preserve">Os quadros seguintes mostram a comparação por partido. Eles preservam a mesma lógica de leitura: impacto positivo significa ganho no cenário </w:t>
      </w:r>
      <w:r w:rsidRPr="00BB1499">
        <w:lastRenderedPageBreak/>
        <w:t>atual; impacto negativo significa que o partido receberia mais se a contagem em dobro não existisse.</w:t>
      </w:r>
    </w:p>
    <w:p w14:paraId="1960C049" w14:textId="77777777" w:rsidR="00BB1499" w:rsidRPr="00BB1499" w:rsidRDefault="00BB1499" w:rsidP="00DD6057">
      <w:pPr>
        <w:pStyle w:val="TTULOSUBITEM11"/>
      </w:pPr>
      <w:r w:rsidRPr="00BB1499">
        <w:t>7.1 Fundo Partidário 2023</w:t>
      </w:r>
    </w:p>
    <w:p w14:paraId="2FBD6951" w14:textId="77777777" w:rsidR="00BB1499" w:rsidRPr="00BB1499" w:rsidRDefault="00BB1499" w:rsidP="00BB1499">
      <w:pPr>
        <w:pStyle w:val="CORPOPADRO"/>
      </w:pPr>
      <w:r w:rsidRPr="00BB1499">
        <w:t>No Fundo Partidário 2023, o maior ganho associado à regra atual aparece em PC do B, com +R$ 3.840.606,18. O maior deslocamento em sentido oposto aparece em PSD, que receberia R$ 7.439.854,05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00CD471E" w14:textId="77777777" w:rsidTr="0006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107E1621" w14:textId="77777777" w:rsidR="00BB1499" w:rsidRPr="00BB1499" w:rsidRDefault="00BB1499" w:rsidP="007B4D2F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5023B153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0456A5FB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0B2A4615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6FCF5A6F" w14:textId="77777777" w:rsidR="00BB1499" w:rsidRPr="00BB1499" w:rsidRDefault="00BB1499" w:rsidP="00062CCD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7BCD6CAC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E2E07D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26F08B7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R$ 23.549.253,87</w:t>
            </w:r>
          </w:p>
        </w:tc>
        <w:tc>
          <w:tcPr>
            <w:tcW w:w="2268" w:type="dxa"/>
            <w:hideMark/>
          </w:tcPr>
          <w:p w14:paraId="75225167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R$ 22.831.284,49</w:t>
            </w:r>
          </w:p>
        </w:tc>
        <w:tc>
          <w:tcPr>
            <w:tcW w:w="2154" w:type="dxa"/>
            <w:hideMark/>
          </w:tcPr>
          <w:p w14:paraId="4099D71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+R$ 717.969,38</w:t>
            </w:r>
          </w:p>
        </w:tc>
        <w:tc>
          <w:tcPr>
            <w:tcW w:w="1699" w:type="dxa"/>
            <w:hideMark/>
          </w:tcPr>
          <w:p w14:paraId="68DCDB1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C11C3AD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2CEFD98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29E3747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R$ 6.847.359,79</w:t>
            </w:r>
          </w:p>
        </w:tc>
        <w:tc>
          <w:tcPr>
            <w:tcW w:w="2268" w:type="dxa"/>
            <w:hideMark/>
          </w:tcPr>
          <w:p w14:paraId="15F8585F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R$ 7.668.980,84</w:t>
            </w:r>
          </w:p>
        </w:tc>
        <w:tc>
          <w:tcPr>
            <w:tcW w:w="2154" w:type="dxa"/>
            <w:hideMark/>
          </w:tcPr>
          <w:p w14:paraId="7362E523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-R$ 821.621,05</w:t>
            </w:r>
          </w:p>
        </w:tc>
        <w:tc>
          <w:tcPr>
            <w:tcW w:w="1699" w:type="dxa"/>
            <w:hideMark/>
          </w:tcPr>
          <w:p w14:paraId="33FD6B7F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273566D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08C83D5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59AA873A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R$ 75.384.302,23</w:t>
            </w:r>
          </w:p>
        </w:tc>
        <w:tc>
          <w:tcPr>
            <w:tcW w:w="2268" w:type="dxa"/>
            <w:hideMark/>
          </w:tcPr>
          <w:p w14:paraId="7E1297DB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R$ 77.898.866,17</w:t>
            </w:r>
          </w:p>
        </w:tc>
        <w:tc>
          <w:tcPr>
            <w:tcW w:w="2154" w:type="dxa"/>
            <w:hideMark/>
          </w:tcPr>
          <w:p w14:paraId="2A5899F5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-R$ 2.514.563,94</w:t>
            </w:r>
          </w:p>
        </w:tc>
        <w:tc>
          <w:tcPr>
            <w:tcW w:w="1699" w:type="dxa"/>
            <w:hideMark/>
          </w:tcPr>
          <w:p w14:paraId="241706F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B49A3CF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DC75084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NOVO</w:t>
            </w:r>
          </w:p>
        </w:tc>
        <w:tc>
          <w:tcPr>
            <w:tcW w:w="2268" w:type="dxa"/>
            <w:hideMark/>
          </w:tcPr>
          <w:p w14:paraId="2268A548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R$ 2.348.528,72</w:t>
            </w:r>
          </w:p>
        </w:tc>
        <w:tc>
          <w:tcPr>
            <w:tcW w:w="2268" w:type="dxa"/>
            <w:hideMark/>
          </w:tcPr>
          <w:p w14:paraId="2399800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R$ 3.193.580,16</w:t>
            </w:r>
          </w:p>
        </w:tc>
        <w:tc>
          <w:tcPr>
            <w:tcW w:w="2154" w:type="dxa"/>
            <w:hideMark/>
          </w:tcPr>
          <w:p w14:paraId="52D0F08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-R$ 845.051,44</w:t>
            </w:r>
          </w:p>
        </w:tc>
        <w:tc>
          <w:tcPr>
            <w:tcW w:w="1699" w:type="dxa"/>
            <w:hideMark/>
          </w:tcPr>
          <w:p w14:paraId="34A7FAB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3AA21D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31DFC9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706EFB4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R$ 17.529.060,77</w:t>
            </w:r>
          </w:p>
        </w:tc>
        <w:tc>
          <w:tcPr>
            <w:tcW w:w="2268" w:type="dxa"/>
            <w:hideMark/>
          </w:tcPr>
          <w:p w14:paraId="6CAA99E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R$ 14.061.044,87</w:t>
            </w:r>
          </w:p>
        </w:tc>
        <w:tc>
          <w:tcPr>
            <w:tcW w:w="2154" w:type="dxa"/>
            <w:hideMark/>
          </w:tcPr>
          <w:p w14:paraId="67DEF4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+R$ 3.468.015,90</w:t>
            </w:r>
          </w:p>
        </w:tc>
        <w:tc>
          <w:tcPr>
            <w:tcW w:w="1699" w:type="dxa"/>
            <w:hideMark/>
          </w:tcPr>
          <w:p w14:paraId="6F67295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931B3A5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0E0D4CE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1C508FF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R$ 33.290.823,55</w:t>
            </w:r>
          </w:p>
        </w:tc>
        <w:tc>
          <w:tcPr>
            <w:tcW w:w="2268" w:type="dxa"/>
            <w:hideMark/>
          </w:tcPr>
          <w:p w14:paraId="59AEF7BA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R$ 31.354.287,06</w:t>
            </w:r>
          </w:p>
        </w:tc>
        <w:tc>
          <w:tcPr>
            <w:tcW w:w="2154" w:type="dxa"/>
            <w:hideMark/>
          </w:tcPr>
          <w:p w14:paraId="286278F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+R$ 1.936.536,49</w:t>
            </w:r>
          </w:p>
        </w:tc>
        <w:tc>
          <w:tcPr>
            <w:tcW w:w="1699" w:type="dxa"/>
            <w:hideMark/>
          </w:tcPr>
          <w:p w14:paraId="64C809E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3D25420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2C5A605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637EE8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R$ 154.558.272,68</w:t>
            </w:r>
          </w:p>
        </w:tc>
        <w:tc>
          <w:tcPr>
            <w:tcW w:w="2268" w:type="dxa"/>
            <w:hideMark/>
          </w:tcPr>
          <w:p w14:paraId="16BAC78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R$ 157.064.507,00</w:t>
            </w:r>
          </w:p>
        </w:tc>
        <w:tc>
          <w:tcPr>
            <w:tcW w:w="2154" w:type="dxa"/>
            <w:hideMark/>
          </w:tcPr>
          <w:p w14:paraId="16847F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-R$ 2.506.234,32</w:t>
            </w:r>
          </w:p>
        </w:tc>
        <w:tc>
          <w:tcPr>
            <w:tcW w:w="1699" w:type="dxa"/>
            <w:hideMark/>
          </w:tcPr>
          <w:p w14:paraId="742C5553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FBDAFD8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6F23CF3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lastRenderedPageBreak/>
              <w:t>PODE</w:t>
            </w:r>
          </w:p>
        </w:tc>
        <w:tc>
          <w:tcPr>
            <w:tcW w:w="2268" w:type="dxa"/>
            <w:hideMark/>
          </w:tcPr>
          <w:p w14:paraId="6618EA47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R$ 46.705.718,34</w:t>
            </w:r>
          </w:p>
        </w:tc>
        <w:tc>
          <w:tcPr>
            <w:tcW w:w="2268" w:type="dxa"/>
            <w:hideMark/>
          </w:tcPr>
          <w:p w14:paraId="64E081E1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R$ 48.809.374,50</w:t>
            </w:r>
          </w:p>
        </w:tc>
        <w:tc>
          <w:tcPr>
            <w:tcW w:w="2154" w:type="dxa"/>
            <w:hideMark/>
          </w:tcPr>
          <w:p w14:paraId="13E377A6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-R$ 2.103.656,16</w:t>
            </w:r>
          </w:p>
        </w:tc>
        <w:tc>
          <w:tcPr>
            <w:tcW w:w="1699" w:type="dxa"/>
            <w:hideMark/>
          </w:tcPr>
          <w:p w14:paraId="1871C5C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503371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B0FED07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7D04ED2C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R$ 84.497.709,75</w:t>
            </w:r>
          </w:p>
        </w:tc>
        <w:tc>
          <w:tcPr>
            <w:tcW w:w="2268" w:type="dxa"/>
            <w:hideMark/>
          </w:tcPr>
          <w:p w14:paraId="410BA3B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R$ 84.135.798,25</w:t>
            </w:r>
          </w:p>
        </w:tc>
        <w:tc>
          <w:tcPr>
            <w:tcW w:w="2154" w:type="dxa"/>
            <w:hideMark/>
          </w:tcPr>
          <w:p w14:paraId="7693E77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+R$ 361.911,50</w:t>
            </w:r>
          </w:p>
        </w:tc>
        <w:tc>
          <w:tcPr>
            <w:tcW w:w="1699" w:type="dxa"/>
            <w:hideMark/>
          </w:tcPr>
          <w:p w14:paraId="2323871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B12F9A5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764E86A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4534DE6F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R$ 21.148.584,69</w:t>
            </w:r>
          </w:p>
        </w:tc>
        <w:tc>
          <w:tcPr>
            <w:tcW w:w="2268" w:type="dxa"/>
            <w:hideMark/>
          </w:tcPr>
          <w:p w14:paraId="18461D7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R$ 22.351.638,10</w:t>
            </w:r>
          </w:p>
        </w:tc>
        <w:tc>
          <w:tcPr>
            <w:tcW w:w="2154" w:type="dxa"/>
            <w:hideMark/>
          </w:tcPr>
          <w:p w14:paraId="54E45F1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-R$ 1.203.053,41</w:t>
            </w:r>
          </w:p>
        </w:tc>
        <w:tc>
          <w:tcPr>
            <w:tcW w:w="1699" w:type="dxa"/>
            <w:hideMark/>
          </w:tcPr>
          <w:p w14:paraId="582052B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ADF811A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20018B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68C1F6C8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R$ 46.922.629,25</w:t>
            </w:r>
          </w:p>
        </w:tc>
        <w:tc>
          <w:tcPr>
            <w:tcW w:w="2268" w:type="dxa"/>
            <w:hideMark/>
          </w:tcPr>
          <w:p w14:paraId="7425349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R$ 45.181.813,27</w:t>
            </w:r>
          </w:p>
        </w:tc>
        <w:tc>
          <w:tcPr>
            <w:tcW w:w="2154" w:type="dxa"/>
            <w:hideMark/>
          </w:tcPr>
          <w:p w14:paraId="526062B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+R$ 1.740.815,98</w:t>
            </w:r>
          </w:p>
        </w:tc>
        <w:tc>
          <w:tcPr>
            <w:tcW w:w="1699" w:type="dxa"/>
            <w:hideMark/>
          </w:tcPr>
          <w:p w14:paraId="56B723A6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8EF100E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B68AE9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79FDCEA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R$ 75.871.650,54</w:t>
            </w:r>
          </w:p>
        </w:tc>
        <w:tc>
          <w:tcPr>
            <w:tcW w:w="2268" w:type="dxa"/>
            <w:hideMark/>
          </w:tcPr>
          <w:p w14:paraId="18ED14AA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R$ 82.589.739,02</w:t>
            </w:r>
          </w:p>
        </w:tc>
        <w:tc>
          <w:tcPr>
            <w:tcW w:w="2154" w:type="dxa"/>
            <w:hideMark/>
          </w:tcPr>
          <w:p w14:paraId="5A3E8251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-R$ 6.718.088,48</w:t>
            </w:r>
          </w:p>
        </w:tc>
        <w:tc>
          <w:tcPr>
            <w:tcW w:w="1699" w:type="dxa"/>
            <w:hideMark/>
          </w:tcPr>
          <w:p w14:paraId="2B1A3EF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6C5551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647C00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399DB4D0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R$ 18.567.428,19</w:t>
            </w:r>
          </w:p>
        </w:tc>
        <w:tc>
          <w:tcPr>
            <w:tcW w:w="2268" w:type="dxa"/>
            <w:hideMark/>
          </w:tcPr>
          <w:p w14:paraId="722E704B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R$ 21.637.209,84</w:t>
            </w:r>
          </w:p>
        </w:tc>
        <w:tc>
          <w:tcPr>
            <w:tcW w:w="2154" w:type="dxa"/>
            <w:hideMark/>
          </w:tcPr>
          <w:p w14:paraId="7A96DA30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-R$ 3.069.781,65</w:t>
            </w:r>
          </w:p>
        </w:tc>
        <w:tc>
          <w:tcPr>
            <w:tcW w:w="1699" w:type="dxa"/>
            <w:hideMark/>
          </w:tcPr>
          <w:p w14:paraId="083D67D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53B89B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B5DE663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6C5C430C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R$ 43.192.269,29</w:t>
            </w:r>
          </w:p>
        </w:tc>
        <w:tc>
          <w:tcPr>
            <w:tcW w:w="2268" w:type="dxa"/>
            <w:hideMark/>
          </w:tcPr>
          <w:p w14:paraId="2A85107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R$ 40.027.968,08</w:t>
            </w:r>
          </w:p>
        </w:tc>
        <w:tc>
          <w:tcPr>
            <w:tcW w:w="2154" w:type="dxa"/>
            <w:hideMark/>
          </w:tcPr>
          <w:p w14:paraId="4DD51DF6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+R$ 3.164.301,21</w:t>
            </w:r>
          </w:p>
        </w:tc>
        <w:tc>
          <w:tcPr>
            <w:tcW w:w="1699" w:type="dxa"/>
            <w:hideMark/>
          </w:tcPr>
          <w:p w14:paraId="03EB4ED2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97D84C4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81EC02C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1EBEFC2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R$ 125.619.434,29</w:t>
            </w:r>
          </w:p>
        </w:tc>
        <w:tc>
          <w:tcPr>
            <w:tcW w:w="2268" w:type="dxa"/>
            <w:hideMark/>
          </w:tcPr>
          <w:p w14:paraId="1FDD19EC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R$ 122.945.060,56</w:t>
            </w:r>
          </w:p>
        </w:tc>
        <w:tc>
          <w:tcPr>
            <w:tcW w:w="2154" w:type="dxa"/>
            <w:hideMark/>
          </w:tcPr>
          <w:p w14:paraId="003848D5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+R$ 2.674.373,73</w:t>
            </w:r>
          </w:p>
        </w:tc>
        <w:tc>
          <w:tcPr>
            <w:tcW w:w="1699" w:type="dxa"/>
            <w:hideMark/>
          </w:tcPr>
          <w:p w14:paraId="0A4EBB8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01402C2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F5AF6B6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4FB7727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R$ 12.130.670,14</w:t>
            </w:r>
          </w:p>
        </w:tc>
        <w:tc>
          <w:tcPr>
            <w:tcW w:w="2268" w:type="dxa"/>
            <w:hideMark/>
          </w:tcPr>
          <w:p w14:paraId="4BAE598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R$ 12.814.685,49</w:t>
            </w:r>
          </w:p>
        </w:tc>
        <w:tc>
          <w:tcPr>
            <w:tcW w:w="2154" w:type="dxa"/>
            <w:hideMark/>
          </w:tcPr>
          <w:p w14:paraId="7AAE63C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-R$ 684.015,35</w:t>
            </w:r>
          </w:p>
        </w:tc>
        <w:tc>
          <w:tcPr>
            <w:tcW w:w="1699" w:type="dxa"/>
            <w:hideMark/>
          </w:tcPr>
          <w:p w14:paraId="0F36457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14D7378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ABA911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325DC7B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R$ 10.439.853,80</w:t>
            </w:r>
          </w:p>
        </w:tc>
        <w:tc>
          <w:tcPr>
            <w:tcW w:w="2268" w:type="dxa"/>
            <w:hideMark/>
          </w:tcPr>
          <w:p w14:paraId="52C2E06A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R$ 9.650.539,21</w:t>
            </w:r>
          </w:p>
        </w:tc>
        <w:tc>
          <w:tcPr>
            <w:tcW w:w="2154" w:type="dxa"/>
            <w:hideMark/>
          </w:tcPr>
          <w:p w14:paraId="192819C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+R$ 789.314,59</w:t>
            </w:r>
          </w:p>
        </w:tc>
        <w:tc>
          <w:tcPr>
            <w:tcW w:w="1699" w:type="dxa"/>
            <w:hideMark/>
          </w:tcPr>
          <w:p w14:paraId="3272986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798ADCA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353AA72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7BBEA7F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R$ 73.464.759,87</w:t>
            </w:r>
          </w:p>
        </w:tc>
        <w:tc>
          <w:tcPr>
            <w:tcW w:w="2268" w:type="dxa"/>
            <w:hideMark/>
          </w:tcPr>
          <w:p w14:paraId="5C3E6C5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R$ 71.028.386,81</w:t>
            </w:r>
          </w:p>
        </w:tc>
        <w:tc>
          <w:tcPr>
            <w:tcW w:w="2154" w:type="dxa"/>
            <w:hideMark/>
          </w:tcPr>
          <w:p w14:paraId="61CE6B9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+R$ 2.436.373,06</w:t>
            </w:r>
          </w:p>
        </w:tc>
        <w:tc>
          <w:tcPr>
            <w:tcW w:w="1699" w:type="dxa"/>
            <w:hideMark/>
          </w:tcPr>
          <w:p w14:paraId="4703607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98D605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750022F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0370C32F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R$ 16.551.384,36</w:t>
            </w:r>
          </w:p>
        </w:tc>
        <w:tc>
          <w:tcPr>
            <w:tcW w:w="2268" w:type="dxa"/>
            <w:hideMark/>
          </w:tcPr>
          <w:p w14:paraId="17FC8A17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R$ 14.791.400,58</w:t>
            </w:r>
          </w:p>
        </w:tc>
        <w:tc>
          <w:tcPr>
            <w:tcW w:w="2154" w:type="dxa"/>
            <w:hideMark/>
          </w:tcPr>
          <w:p w14:paraId="4E4A47AE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+R$ 1.759.983,78</w:t>
            </w:r>
          </w:p>
        </w:tc>
        <w:tc>
          <w:tcPr>
            <w:tcW w:w="1699" w:type="dxa"/>
            <w:hideMark/>
          </w:tcPr>
          <w:p w14:paraId="12ACC850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AB0DDC9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FB56A5C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lastRenderedPageBreak/>
              <w:t>UNIÃO</w:t>
            </w:r>
          </w:p>
        </w:tc>
        <w:tc>
          <w:tcPr>
            <w:tcW w:w="2268" w:type="dxa"/>
            <w:hideMark/>
          </w:tcPr>
          <w:p w14:paraId="3DBDF7D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R$ 104.429.581,80</w:t>
            </w:r>
          </w:p>
        </w:tc>
        <w:tc>
          <w:tcPr>
            <w:tcW w:w="2268" w:type="dxa"/>
            <w:hideMark/>
          </w:tcPr>
          <w:p w14:paraId="3BDA5B6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R$ 103.013.111,61</w:t>
            </w:r>
          </w:p>
        </w:tc>
        <w:tc>
          <w:tcPr>
            <w:tcW w:w="2154" w:type="dxa"/>
            <w:hideMark/>
          </w:tcPr>
          <w:p w14:paraId="42F09BB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+R$ 1.416.470,19</w:t>
            </w:r>
          </w:p>
        </w:tc>
        <w:tc>
          <w:tcPr>
            <w:tcW w:w="1699" w:type="dxa"/>
            <w:hideMark/>
          </w:tcPr>
          <w:p w14:paraId="2393730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1E3946BB" w14:textId="77777777" w:rsidR="00BB1499" w:rsidRPr="00BB1499" w:rsidRDefault="00BB1499" w:rsidP="007B4D2F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2023; a tabela abaixo usa a estrutura partidária consolidada para manter comparabilidade entre os anos: </w:t>
      </w:r>
      <w:hyperlink r:id="rId30" w:history="1">
        <w:r w:rsidRPr="00BB1499">
          <w:rPr>
            <w:rStyle w:val="Hyperlink"/>
          </w:rPr>
          <w:t>Fundo Partidário 2023</w:t>
        </w:r>
      </w:hyperlink>
      <w:r w:rsidRPr="00BB1499">
        <w:t>.</w:t>
      </w:r>
    </w:p>
    <w:p w14:paraId="165B3E31" w14:textId="77777777" w:rsidR="00BB1499" w:rsidRPr="00BB1499" w:rsidRDefault="00BB1499" w:rsidP="007B4D2F">
      <w:pPr>
        <w:pStyle w:val="TTULOSUBITEM11"/>
      </w:pPr>
      <w:r w:rsidRPr="00BB1499">
        <w:t>7.2 Fundo Partidário 2024</w:t>
      </w:r>
    </w:p>
    <w:p w14:paraId="456D9180" w14:textId="77777777" w:rsidR="00BB1499" w:rsidRPr="00BB1499" w:rsidRDefault="00BB1499" w:rsidP="00BB1499">
      <w:pPr>
        <w:pStyle w:val="CORPOPADRO"/>
      </w:pPr>
      <w:r w:rsidRPr="00BB1499">
        <w:t>No Fundo Partidário 2024, o maior ganho associado à regra atual aparece em PC do B, com +R$ 4.034.437,54. O maior deslocamento em sentido oposto aparece em PSD, que receberia R$ 7.913.297,77 a mais sem a EC.</w:t>
      </w:r>
    </w:p>
    <w:tbl>
      <w:tblPr>
        <w:tblStyle w:val="SimplesTabela1"/>
        <w:tblW w:w="100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154"/>
        <w:gridCol w:w="1701"/>
      </w:tblGrid>
      <w:tr w:rsidR="00BB1499" w:rsidRPr="00BB1499" w14:paraId="78B128B7" w14:textId="77777777" w:rsidTr="00C8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1773C214" w14:textId="77777777" w:rsidR="00BB1499" w:rsidRPr="00BB1499" w:rsidRDefault="00BB1499" w:rsidP="00C86B89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4EE9464B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663A7A98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6C7E00C4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701" w:type="dxa"/>
            <w:vAlign w:val="center"/>
            <w:hideMark/>
          </w:tcPr>
          <w:p w14:paraId="38F06075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25094E04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F73E7DF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5C93255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R$ 26.160.894,91</w:t>
            </w:r>
          </w:p>
        </w:tc>
        <w:tc>
          <w:tcPr>
            <w:tcW w:w="2268" w:type="dxa"/>
            <w:hideMark/>
          </w:tcPr>
          <w:p w14:paraId="140D21FA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R$ 25.376.903,77</w:t>
            </w:r>
          </w:p>
        </w:tc>
        <w:tc>
          <w:tcPr>
            <w:tcW w:w="2154" w:type="dxa"/>
            <w:hideMark/>
          </w:tcPr>
          <w:p w14:paraId="56DD2858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+R$ 783.991,14</w:t>
            </w:r>
          </w:p>
        </w:tc>
        <w:tc>
          <w:tcPr>
            <w:tcW w:w="1701" w:type="dxa"/>
            <w:vAlign w:val="center"/>
            <w:hideMark/>
          </w:tcPr>
          <w:p w14:paraId="7D619E7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9C80FB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102C2FF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11FF9EC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R$ 15.330.075,59</w:t>
            </w:r>
          </w:p>
        </w:tc>
        <w:tc>
          <w:tcPr>
            <w:tcW w:w="2268" w:type="dxa"/>
            <w:hideMark/>
          </w:tcPr>
          <w:p w14:paraId="167B391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R$ 16.264.245,82</w:t>
            </w:r>
          </w:p>
        </w:tc>
        <w:tc>
          <w:tcPr>
            <w:tcW w:w="2154" w:type="dxa"/>
            <w:hideMark/>
          </w:tcPr>
          <w:p w14:paraId="104A30C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-R$ 934.170,23</w:t>
            </w:r>
          </w:p>
        </w:tc>
        <w:tc>
          <w:tcPr>
            <w:tcW w:w="1701" w:type="dxa"/>
            <w:vAlign w:val="center"/>
            <w:hideMark/>
          </w:tcPr>
          <w:p w14:paraId="093DFAB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0B0056E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B0F4255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13709DD5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R$ 79.579.526,36</w:t>
            </w:r>
          </w:p>
        </w:tc>
        <w:tc>
          <w:tcPr>
            <w:tcW w:w="2268" w:type="dxa"/>
            <w:hideMark/>
          </w:tcPr>
          <w:p w14:paraId="6263BE08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R$ 82.466.021,77</w:t>
            </w:r>
          </w:p>
        </w:tc>
        <w:tc>
          <w:tcPr>
            <w:tcW w:w="2154" w:type="dxa"/>
            <w:hideMark/>
          </w:tcPr>
          <w:p w14:paraId="277E27F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-R$ 2.886.495,41</w:t>
            </w:r>
          </w:p>
        </w:tc>
        <w:tc>
          <w:tcPr>
            <w:tcW w:w="1701" w:type="dxa"/>
            <w:vAlign w:val="center"/>
            <w:hideMark/>
          </w:tcPr>
          <w:p w14:paraId="2DCF7676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83EBF68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7127AB7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0AFA8B10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R$ 17.714.632,05</w:t>
            </w:r>
          </w:p>
        </w:tc>
        <w:tc>
          <w:tcPr>
            <w:tcW w:w="2268" w:type="dxa"/>
            <w:hideMark/>
          </w:tcPr>
          <w:p w14:paraId="48B58A5A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R$ 13.842.139,67</w:t>
            </w:r>
          </w:p>
        </w:tc>
        <w:tc>
          <w:tcPr>
            <w:tcW w:w="2154" w:type="dxa"/>
            <w:hideMark/>
          </w:tcPr>
          <w:p w14:paraId="7789789B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+R$ 3.872.492,38</w:t>
            </w:r>
          </w:p>
        </w:tc>
        <w:tc>
          <w:tcPr>
            <w:tcW w:w="1701" w:type="dxa"/>
            <w:vAlign w:val="center"/>
            <w:hideMark/>
          </w:tcPr>
          <w:p w14:paraId="6FE4D14F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73AC1371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A41CE6C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2998F6AD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R$ 43.193.695,51</w:t>
            </w:r>
          </w:p>
        </w:tc>
        <w:tc>
          <w:tcPr>
            <w:tcW w:w="2268" w:type="dxa"/>
            <w:hideMark/>
          </w:tcPr>
          <w:p w14:paraId="6C3C24D6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R$ 41.057.929,18</w:t>
            </w:r>
          </w:p>
        </w:tc>
        <w:tc>
          <w:tcPr>
            <w:tcW w:w="2154" w:type="dxa"/>
            <w:hideMark/>
          </w:tcPr>
          <w:p w14:paraId="5A5E0559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+R$ 2.135.766,33</w:t>
            </w:r>
          </w:p>
        </w:tc>
        <w:tc>
          <w:tcPr>
            <w:tcW w:w="1701" w:type="dxa"/>
            <w:vAlign w:val="center"/>
            <w:hideMark/>
          </w:tcPr>
          <w:p w14:paraId="64001ED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32D2EEF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B72C120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6C67B1D4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R$ 170.301.400,76</w:t>
            </w:r>
          </w:p>
        </w:tc>
        <w:tc>
          <w:tcPr>
            <w:tcW w:w="2268" w:type="dxa"/>
            <w:hideMark/>
          </w:tcPr>
          <w:p w14:paraId="611DFD9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R$ 173.267.460,62</w:t>
            </w:r>
          </w:p>
        </w:tc>
        <w:tc>
          <w:tcPr>
            <w:tcW w:w="2154" w:type="dxa"/>
            <w:hideMark/>
          </w:tcPr>
          <w:p w14:paraId="56974394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-R$ 2.966.059,86</w:t>
            </w:r>
          </w:p>
        </w:tc>
        <w:tc>
          <w:tcPr>
            <w:tcW w:w="1701" w:type="dxa"/>
            <w:vAlign w:val="center"/>
            <w:hideMark/>
          </w:tcPr>
          <w:p w14:paraId="040872E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9ECB327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76E5BF2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lastRenderedPageBreak/>
              <w:t>PODE</w:t>
            </w:r>
          </w:p>
        </w:tc>
        <w:tc>
          <w:tcPr>
            <w:tcW w:w="2268" w:type="dxa"/>
            <w:hideMark/>
          </w:tcPr>
          <w:p w14:paraId="2FCA139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R$ 50.804.213,55</w:t>
            </w:r>
          </w:p>
        </w:tc>
        <w:tc>
          <w:tcPr>
            <w:tcW w:w="2268" w:type="dxa"/>
            <w:hideMark/>
          </w:tcPr>
          <w:p w14:paraId="765DE53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R$ 53.209.277,98</w:t>
            </w:r>
          </w:p>
        </w:tc>
        <w:tc>
          <w:tcPr>
            <w:tcW w:w="2154" w:type="dxa"/>
            <w:hideMark/>
          </w:tcPr>
          <w:p w14:paraId="0B303226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-R$ 2.405.064,43</w:t>
            </w:r>
          </w:p>
        </w:tc>
        <w:tc>
          <w:tcPr>
            <w:tcW w:w="1701" w:type="dxa"/>
            <w:vAlign w:val="center"/>
            <w:hideMark/>
          </w:tcPr>
          <w:p w14:paraId="53009F50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04DB3DB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8A1B901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1F43536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R$ 90.351.282,54</w:t>
            </w:r>
          </w:p>
        </w:tc>
        <w:tc>
          <w:tcPr>
            <w:tcW w:w="2268" w:type="dxa"/>
            <w:hideMark/>
          </w:tcPr>
          <w:p w14:paraId="74E34971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R$ 90.023.940,48</w:t>
            </w:r>
          </w:p>
        </w:tc>
        <w:tc>
          <w:tcPr>
            <w:tcW w:w="2154" w:type="dxa"/>
            <w:hideMark/>
          </w:tcPr>
          <w:p w14:paraId="4E8568A3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+R$ 327.342,06</w:t>
            </w:r>
          </w:p>
        </w:tc>
        <w:tc>
          <w:tcPr>
            <w:tcW w:w="1701" w:type="dxa"/>
            <w:vAlign w:val="center"/>
            <w:hideMark/>
          </w:tcPr>
          <w:p w14:paraId="6F0C275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ACEBCF0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FF9B996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2A51B85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R$ 30.838.435,52</w:t>
            </w:r>
          </w:p>
        </w:tc>
        <w:tc>
          <w:tcPr>
            <w:tcW w:w="2268" w:type="dxa"/>
            <w:hideMark/>
          </w:tcPr>
          <w:p w14:paraId="1C18A29E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R$ 32.211.615,21</w:t>
            </w:r>
          </w:p>
        </w:tc>
        <w:tc>
          <w:tcPr>
            <w:tcW w:w="2154" w:type="dxa"/>
            <w:hideMark/>
          </w:tcPr>
          <w:p w14:paraId="78233AC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-R$ 1.373.179,69</w:t>
            </w:r>
          </w:p>
        </w:tc>
        <w:tc>
          <w:tcPr>
            <w:tcW w:w="1701" w:type="dxa"/>
            <w:vAlign w:val="center"/>
            <w:hideMark/>
          </w:tcPr>
          <w:p w14:paraId="7A93952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8DDFF90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832F1B8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156FF1F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R$ 47.208.816,26</w:t>
            </w:r>
          </w:p>
        </w:tc>
        <w:tc>
          <w:tcPr>
            <w:tcW w:w="2268" w:type="dxa"/>
            <w:hideMark/>
          </w:tcPr>
          <w:p w14:paraId="02A26D9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R$ 45.296.877,74</w:t>
            </w:r>
          </w:p>
        </w:tc>
        <w:tc>
          <w:tcPr>
            <w:tcW w:w="2154" w:type="dxa"/>
            <w:hideMark/>
          </w:tcPr>
          <w:p w14:paraId="2C522F8A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+R$ 1.911.938,52</w:t>
            </w:r>
          </w:p>
        </w:tc>
        <w:tc>
          <w:tcPr>
            <w:tcW w:w="1701" w:type="dxa"/>
            <w:vAlign w:val="center"/>
            <w:hideMark/>
          </w:tcPr>
          <w:p w14:paraId="67F68F22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F416F57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7A22CF2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23A34703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R$ 79.959.682,13</w:t>
            </w:r>
          </w:p>
        </w:tc>
        <w:tc>
          <w:tcPr>
            <w:tcW w:w="2268" w:type="dxa"/>
            <w:hideMark/>
          </w:tcPr>
          <w:p w14:paraId="49E804BF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R$ 87.555.334,55</w:t>
            </w:r>
          </w:p>
        </w:tc>
        <w:tc>
          <w:tcPr>
            <w:tcW w:w="2154" w:type="dxa"/>
            <w:hideMark/>
          </w:tcPr>
          <w:p w14:paraId="650AF83D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-R$ 7.595.652,42</w:t>
            </w:r>
          </w:p>
        </w:tc>
        <w:tc>
          <w:tcPr>
            <w:tcW w:w="1701" w:type="dxa"/>
            <w:vAlign w:val="center"/>
            <w:hideMark/>
          </w:tcPr>
          <w:p w14:paraId="70E228B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5333A5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C593B8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064DFC4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R$ 26.264.358,88</w:t>
            </w:r>
          </w:p>
        </w:tc>
        <w:tc>
          <w:tcPr>
            <w:tcW w:w="2268" w:type="dxa"/>
            <w:hideMark/>
          </w:tcPr>
          <w:p w14:paraId="78D4971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R$ 29.730.141,55</w:t>
            </w:r>
          </w:p>
        </w:tc>
        <w:tc>
          <w:tcPr>
            <w:tcW w:w="2154" w:type="dxa"/>
            <w:hideMark/>
          </w:tcPr>
          <w:p w14:paraId="0EB5695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-R$ 3.465.782,67</w:t>
            </w:r>
          </w:p>
        </w:tc>
        <w:tc>
          <w:tcPr>
            <w:tcW w:w="1701" w:type="dxa"/>
            <w:vAlign w:val="center"/>
            <w:hideMark/>
          </w:tcPr>
          <w:p w14:paraId="6097A8C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3F89433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518668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179DE7C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R$ 45.275.425,31</w:t>
            </w:r>
          </w:p>
        </w:tc>
        <w:tc>
          <w:tcPr>
            <w:tcW w:w="2268" w:type="dxa"/>
            <w:hideMark/>
          </w:tcPr>
          <w:p w14:paraId="1FD06B6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R$ 41.767.495,02</w:t>
            </w:r>
          </w:p>
        </w:tc>
        <w:tc>
          <w:tcPr>
            <w:tcW w:w="2154" w:type="dxa"/>
            <w:hideMark/>
          </w:tcPr>
          <w:p w14:paraId="19B5CA5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+R$ 3.507.930,29</w:t>
            </w:r>
          </w:p>
        </w:tc>
        <w:tc>
          <w:tcPr>
            <w:tcW w:w="1701" w:type="dxa"/>
            <w:vAlign w:val="center"/>
            <w:hideMark/>
          </w:tcPr>
          <w:p w14:paraId="6E1FC5E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73D5F13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25A3B7A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5AA86DB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R$ 134.472.173,10</w:t>
            </w:r>
          </w:p>
        </w:tc>
        <w:tc>
          <w:tcPr>
            <w:tcW w:w="2268" w:type="dxa"/>
            <w:hideMark/>
          </w:tcPr>
          <w:p w14:paraId="0A8600BE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R$ 131.588.056,31</w:t>
            </w:r>
          </w:p>
        </w:tc>
        <w:tc>
          <w:tcPr>
            <w:tcW w:w="2154" w:type="dxa"/>
            <w:hideMark/>
          </w:tcPr>
          <w:p w14:paraId="51D73BC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+R$ 2.884.116,79</w:t>
            </w:r>
          </w:p>
        </w:tc>
        <w:tc>
          <w:tcPr>
            <w:tcW w:w="1701" w:type="dxa"/>
            <w:vAlign w:val="center"/>
            <w:hideMark/>
          </w:tcPr>
          <w:p w14:paraId="491D61C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70DFAE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8750377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1C12C27A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R$ 11.670.761,48</w:t>
            </w:r>
          </w:p>
        </w:tc>
        <w:tc>
          <w:tcPr>
            <w:tcW w:w="2268" w:type="dxa"/>
            <w:hideMark/>
          </w:tcPr>
          <w:p w14:paraId="16BB786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R$ 12.444.845,04</w:t>
            </w:r>
          </w:p>
        </w:tc>
        <w:tc>
          <w:tcPr>
            <w:tcW w:w="2154" w:type="dxa"/>
            <w:hideMark/>
          </w:tcPr>
          <w:p w14:paraId="31078042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-R$ 774.083,56</w:t>
            </w:r>
          </w:p>
        </w:tc>
        <w:tc>
          <w:tcPr>
            <w:tcW w:w="1701" w:type="dxa"/>
            <w:vAlign w:val="center"/>
            <w:hideMark/>
          </w:tcPr>
          <w:p w14:paraId="07D0203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168EDEC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342002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560CF89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R$ 11.790.116,38</w:t>
            </w:r>
          </w:p>
        </w:tc>
        <w:tc>
          <w:tcPr>
            <w:tcW w:w="2268" w:type="dxa"/>
            <w:hideMark/>
          </w:tcPr>
          <w:p w14:paraId="4AA98E93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R$ 10.913.428,87</w:t>
            </w:r>
          </w:p>
        </w:tc>
        <w:tc>
          <w:tcPr>
            <w:tcW w:w="2154" w:type="dxa"/>
            <w:hideMark/>
          </w:tcPr>
          <w:p w14:paraId="65CF6F7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+R$ 876.687,51</w:t>
            </w:r>
          </w:p>
        </w:tc>
        <w:tc>
          <w:tcPr>
            <w:tcW w:w="1701" w:type="dxa"/>
            <w:vAlign w:val="center"/>
            <w:hideMark/>
          </w:tcPr>
          <w:p w14:paraId="61F364A5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2F1B772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17C6AB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5D171BF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R$ 82.353.253,72</w:t>
            </w:r>
          </w:p>
        </w:tc>
        <w:tc>
          <w:tcPr>
            <w:tcW w:w="2268" w:type="dxa"/>
            <w:hideMark/>
          </w:tcPr>
          <w:p w14:paraId="5A97B322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R$ 79.694.460,25</w:t>
            </w:r>
          </w:p>
        </w:tc>
        <w:tc>
          <w:tcPr>
            <w:tcW w:w="2154" w:type="dxa"/>
            <w:hideMark/>
          </w:tcPr>
          <w:p w14:paraId="08BFFD3E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+R$ 2.658.793,47</w:t>
            </w:r>
          </w:p>
        </w:tc>
        <w:tc>
          <w:tcPr>
            <w:tcW w:w="1701" w:type="dxa"/>
            <w:vAlign w:val="center"/>
            <w:hideMark/>
          </w:tcPr>
          <w:p w14:paraId="4862D77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DA94D7A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E174C81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3EDEE4A1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R$ 29.252.176,78</w:t>
            </w:r>
          </w:p>
        </w:tc>
        <w:tc>
          <w:tcPr>
            <w:tcW w:w="2268" w:type="dxa"/>
            <w:hideMark/>
          </w:tcPr>
          <w:p w14:paraId="07F5C05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R$ 27.304.293,02</w:t>
            </w:r>
          </w:p>
        </w:tc>
        <w:tc>
          <w:tcPr>
            <w:tcW w:w="2154" w:type="dxa"/>
            <w:hideMark/>
          </w:tcPr>
          <w:p w14:paraId="79DFB65E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+R$ 1.947.883,76</w:t>
            </w:r>
          </w:p>
        </w:tc>
        <w:tc>
          <w:tcPr>
            <w:tcW w:w="1701" w:type="dxa"/>
            <w:vAlign w:val="center"/>
            <w:hideMark/>
          </w:tcPr>
          <w:p w14:paraId="1664374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74E1388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30DFB05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lastRenderedPageBreak/>
              <w:t>UNIÃO</w:t>
            </w:r>
          </w:p>
        </w:tc>
        <w:tc>
          <w:tcPr>
            <w:tcW w:w="2268" w:type="dxa"/>
            <w:hideMark/>
          </w:tcPr>
          <w:p w14:paraId="4A639D0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R$ 107.299.455,66</w:t>
            </w:r>
          </w:p>
        </w:tc>
        <w:tc>
          <w:tcPr>
            <w:tcW w:w="2268" w:type="dxa"/>
            <w:hideMark/>
          </w:tcPr>
          <w:p w14:paraId="6A8CB1F9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R$ 105.805.909,66</w:t>
            </w:r>
          </w:p>
        </w:tc>
        <w:tc>
          <w:tcPr>
            <w:tcW w:w="2154" w:type="dxa"/>
            <w:hideMark/>
          </w:tcPr>
          <w:p w14:paraId="32947B6B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+R$ 1.493.546,00</w:t>
            </w:r>
          </w:p>
        </w:tc>
        <w:tc>
          <w:tcPr>
            <w:tcW w:w="1701" w:type="dxa"/>
            <w:vAlign w:val="center"/>
            <w:hideMark/>
          </w:tcPr>
          <w:p w14:paraId="054F892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69502B3C" w14:textId="77777777" w:rsidR="00BB1499" w:rsidRPr="00BB1499" w:rsidRDefault="00BB1499" w:rsidP="00343EA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2024; a tabela abaixo usa a estrutura partidária consolidada para manter comparabilidade entre os anos: </w:t>
      </w:r>
      <w:hyperlink r:id="rId31" w:history="1">
        <w:r w:rsidRPr="00BB1499">
          <w:rPr>
            <w:rStyle w:val="Hyperlink"/>
          </w:rPr>
          <w:t>Fundo Partidário 2024</w:t>
        </w:r>
      </w:hyperlink>
      <w:r w:rsidRPr="00BB1499">
        <w:t>.</w:t>
      </w:r>
    </w:p>
    <w:p w14:paraId="43978D0A" w14:textId="77777777" w:rsidR="00BB1499" w:rsidRPr="00BB1499" w:rsidRDefault="00BB1499" w:rsidP="00343EAA">
      <w:pPr>
        <w:pStyle w:val="TTULOSUBITEM11"/>
      </w:pPr>
      <w:r w:rsidRPr="00BB1499">
        <w:t>7.3 FEFC 2024</w:t>
      </w:r>
    </w:p>
    <w:p w14:paraId="280A9638" w14:textId="77777777" w:rsidR="00BB1499" w:rsidRPr="00BB1499" w:rsidRDefault="00BB1499" w:rsidP="00BB1499">
      <w:pPr>
        <w:pStyle w:val="CORPOPADRO"/>
      </w:pPr>
      <w:r w:rsidRPr="00BB1499">
        <w:t>No FEFC 2024, o maior ganho associado à regra atual aparece em PT, com +R$ 13.872.644,96. O maior deslocamento em sentido oposto aparece em PSD, que receberia R$ 13.403.437,67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3ACB0DA8" w14:textId="77777777" w:rsidTr="00C8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3931B72A" w14:textId="77777777" w:rsidR="00BB1499" w:rsidRPr="00BB1499" w:rsidRDefault="00BB1499" w:rsidP="00C86B89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434C9169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6B734A19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40EEA2EF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1DED7C6C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68A037CF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AD7B861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AGIR</w:t>
            </w:r>
          </w:p>
        </w:tc>
        <w:tc>
          <w:tcPr>
            <w:tcW w:w="2268" w:type="dxa"/>
            <w:hideMark/>
          </w:tcPr>
          <w:p w14:paraId="60C92C9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20C178E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3947DEA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5368BD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52B0D1BF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589E593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76392F6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R$ 72.585.298,78</w:t>
            </w:r>
          </w:p>
        </w:tc>
        <w:tc>
          <w:tcPr>
            <w:tcW w:w="2268" w:type="dxa"/>
            <w:hideMark/>
          </w:tcPr>
          <w:p w14:paraId="0ADBD3E4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R$ 71.868.490,66</w:t>
            </w:r>
          </w:p>
        </w:tc>
        <w:tc>
          <w:tcPr>
            <w:tcW w:w="2154" w:type="dxa"/>
            <w:hideMark/>
          </w:tcPr>
          <w:p w14:paraId="2E5C8D1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+R$ 716.808,12</w:t>
            </w:r>
          </w:p>
        </w:tc>
        <w:tc>
          <w:tcPr>
            <w:tcW w:w="1699" w:type="dxa"/>
            <w:vAlign w:val="center"/>
            <w:hideMark/>
          </w:tcPr>
          <w:p w14:paraId="2F9DC58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8FC574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6B5B36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059703C2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R$ 60.257.867,86</w:t>
            </w:r>
          </w:p>
        </w:tc>
        <w:tc>
          <w:tcPr>
            <w:tcW w:w="2268" w:type="dxa"/>
            <w:hideMark/>
          </w:tcPr>
          <w:p w14:paraId="0D77D47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R$ 61.796.118,76</w:t>
            </w:r>
          </w:p>
        </w:tc>
        <w:tc>
          <w:tcPr>
            <w:tcW w:w="2154" w:type="dxa"/>
            <w:hideMark/>
          </w:tcPr>
          <w:p w14:paraId="491F7CE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-R$ 1.538.250,90</w:t>
            </w:r>
          </w:p>
        </w:tc>
        <w:tc>
          <w:tcPr>
            <w:tcW w:w="1699" w:type="dxa"/>
            <w:vAlign w:val="center"/>
            <w:hideMark/>
          </w:tcPr>
          <w:p w14:paraId="58086EC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24CD61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96CD3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DC</w:t>
            </w:r>
          </w:p>
        </w:tc>
        <w:tc>
          <w:tcPr>
            <w:tcW w:w="2268" w:type="dxa"/>
            <w:hideMark/>
          </w:tcPr>
          <w:p w14:paraId="084B2A7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46A90A9F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5E09451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24AD2AB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701868C8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8BE3D3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353F79C4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R$ 404.603.269,54</w:t>
            </w:r>
          </w:p>
        </w:tc>
        <w:tc>
          <w:tcPr>
            <w:tcW w:w="2268" w:type="dxa"/>
            <w:hideMark/>
          </w:tcPr>
          <w:p w14:paraId="5F2F27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R$ 410.431.799,36</w:t>
            </w:r>
          </w:p>
        </w:tc>
        <w:tc>
          <w:tcPr>
            <w:tcW w:w="2154" w:type="dxa"/>
            <w:hideMark/>
          </w:tcPr>
          <w:p w14:paraId="2F14B88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-R$ 5.828.529,82</w:t>
            </w:r>
          </w:p>
        </w:tc>
        <w:tc>
          <w:tcPr>
            <w:tcW w:w="1699" w:type="dxa"/>
            <w:vAlign w:val="center"/>
            <w:hideMark/>
          </w:tcPr>
          <w:p w14:paraId="48F813B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54BD193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378A7AE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MOBILIZA</w:t>
            </w:r>
          </w:p>
        </w:tc>
        <w:tc>
          <w:tcPr>
            <w:tcW w:w="2268" w:type="dxa"/>
            <w:hideMark/>
          </w:tcPr>
          <w:p w14:paraId="76C5B51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19C24A4B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4DA8E59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637D344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5BC697D3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8B3D44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NOVO</w:t>
            </w:r>
          </w:p>
        </w:tc>
        <w:tc>
          <w:tcPr>
            <w:tcW w:w="2268" w:type="dxa"/>
            <w:hideMark/>
          </w:tcPr>
          <w:p w14:paraId="05E4C7B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R$ 37.133.690,61</w:t>
            </w:r>
          </w:p>
        </w:tc>
        <w:tc>
          <w:tcPr>
            <w:tcW w:w="2268" w:type="dxa"/>
            <w:hideMark/>
          </w:tcPr>
          <w:p w14:paraId="34CEC2B3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R$ 37.578.242,69</w:t>
            </w:r>
          </w:p>
        </w:tc>
        <w:tc>
          <w:tcPr>
            <w:tcW w:w="2154" w:type="dxa"/>
            <w:hideMark/>
          </w:tcPr>
          <w:p w14:paraId="7B10133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-R$ 444.552,08</w:t>
            </w:r>
          </w:p>
        </w:tc>
        <w:tc>
          <w:tcPr>
            <w:tcW w:w="1699" w:type="dxa"/>
            <w:vAlign w:val="center"/>
            <w:hideMark/>
          </w:tcPr>
          <w:p w14:paraId="32BEC634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D65A74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CBB58C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lastRenderedPageBreak/>
              <w:t>PC do B</w:t>
            </w:r>
          </w:p>
        </w:tc>
        <w:tc>
          <w:tcPr>
            <w:tcW w:w="2268" w:type="dxa"/>
            <w:hideMark/>
          </w:tcPr>
          <w:p w14:paraId="6A4AF14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R$ 55.972.943,54</w:t>
            </w:r>
          </w:p>
        </w:tc>
        <w:tc>
          <w:tcPr>
            <w:tcW w:w="2268" w:type="dxa"/>
            <w:hideMark/>
          </w:tcPr>
          <w:p w14:paraId="58167F1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R$ 49.691.763,12</w:t>
            </w:r>
          </w:p>
        </w:tc>
        <w:tc>
          <w:tcPr>
            <w:tcW w:w="2154" w:type="dxa"/>
            <w:hideMark/>
          </w:tcPr>
          <w:p w14:paraId="72176B5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+R$ 6.281.180,42</w:t>
            </w:r>
          </w:p>
        </w:tc>
        <w:tc>
          <w:tcPr>
            <w:tcW w:w="1699" w:type="dxa"/>
            <w:vAlign w:val="center"/>
            <w:hideMark/>
          </w:tcPr>
          <w:p w14:paraId="077D4FA8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B1637A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FCF91C1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PCB</w:t>
            </w:r>
          </w:p>
        </w:tc>
        <w:tc>
          <w:tcPr>
            <w:tcW w:w="2268" w:type="dxa"/>
            <w:hideMark/>
          </w:tcPr>
          <w:p w14:paraId="09178B3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6745227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6248D6E5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F6905F4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47177F6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E6215F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PCO</w:t>
            </w:r>
          </w:p>
        </w:tc>
        <w:tc>
          <w:tcPr>
            <w:tcW w:w="2268" w:type="dxa"/>
            <w:hideMark/>
          </w:tcPr>
          <w:p w14:paraId="53F0F706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5E4182A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123E734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0DA05A7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70604828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B7E906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7177388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R$ 173.962.508,38</w:t>
            </w:r>
          </w:p>
        </w:tc>
        <w:tc>
          <w:tcPr>
            <w:tcW w:w="2268" w:type="dxa"/>
            <w:hideMark/>
          </w:tcPr>
          <w:p w14:paraId="05C177C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R$ 168.497.957,13</w:t>
            </w:r>
          </w:p>
        </w:tc>
        <w:tc>
          <w:tcPr>
            <w:tcW w:w="2154" w:type="dxa"/>
            <w:hideMark/>
          </w:tcPr>
          <w:p w14:paraId="6A1CDF30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+R$ 5.464.551,25</w:t>
            </w:r>
          </w:p>
        </w:tc>
        <w:tc>
          <w:tcPr>
            <w:tcW w:w="1699" w:type="dxa"/>
            <w:vAlign w:val="center"/>
            <w:hideMark/>
          </w:tcPr>
          <w:p w14:paraId="70AB22B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E9EDB84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8BD19D9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4995624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R$ 886.839.487,85</w:t>
            </w:r>
          </w:p>
        </w:tc>
        <w:tc>
          <w:tcPr>
            <w:tcW w:w="2268" w:type="dxa"/>
            <w:hideMark/>
          </w:tcPr>
          <w:p w14:paraId="02E87D2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R$ 891.430.516,98</w:t>
            </w:r>
          </w:p>
        </w:tc>
        <w:tc>
          <w:tcPr>
            <w:tcW w:w="2154" w:type="dxa"/>
            <w:hideMark/>
          </w:tcPr>
          <w:p w14:paraId="2C16644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-R$ 4.591.029,13</w:t>
            </w:r>
          </w:p>
        </w:tc>
        <w:tc>
          <w:tcPr>
            <w:tcW w:w="1699" w:type="dxa"/>
            <w:vAlign w:val="center"/>
            <w:hideMark/>
          </w:tcPr>
          <w:p w14:paraId="72122EE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49AEC9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F58316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PMB</w:t>
            </w:r>
          </w:p>
        </w:tc>
        <w:tc>
          <w:tcPr>
            <w:tcW w:w="2268" w:type="dxa"/>
            <w:hideMark/>
          </w:tcPr>
          <w:p w14:paraId="256BAC63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2EC10A8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3EBE08E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B69602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1D96652F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6736C0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268" w:type="dxa"/>
            <w:hideMark/>
          </w:tcPr>
          <w:p w14:paraId="0504C04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R$ 236.660.900,06</w:t>
            </w:r>
          </w:p>
        </w:tc>
        <w:tc>
          <w:tcPr>
            <w:tcW w:w="2268" w:type="dxa"/>
            <w:hideMark/>
          </w:tcPr>
          <w:p w14:paraId="22506AC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R$ 241.824.436,17</w:t>
            </w:r>
          </w:p>
        </w:tc>
        <w:tc>
          <w:tcPr>
            <w:tcW w:w="2154" w:type="dxa"/>
            <w:hideMark/>
          </w:tcPr>
          <w:p w14:paraId="021D6D7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-R$ 5.163.536,11</w:t>
            </w:r>
          </w:p>
        </w:tc>
        <w:tc>
          <w:tcPr>
            <w:tcW w:w="1699" w:type="dxa"/>
            <w:vAlign w:val="center"/>
            <w:hideMark/>
          </w:tcPr>
          <w:p w14:paraId="3DFC92B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825C334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DB4849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0150018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R$ 417.291.696,27</w:t>
            </w:r>
          </w:p>
        </w:tc>
        <w:tc>
          <w:tcPr>
            <w:tcW w:w="2268" w:type="dxa"/>
            <w:hideMark/>
          </w:tcPr>
          <w:p w14:paraId="755876D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R$ 417.948.781,95</w:t>
            </w:r>
          </w:p>
        </w:tc>
        <w:tc>
          <w:tcPr>
            <w:tcW w:w="2154" w:type="dxa"/>
            <w:hideMark/>
          </w:tcPr>
          <w:p w14:paraId="5DD49A55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-R$ 657.085,68</w:t>
            </w:r>
          </w:p>
        </w:tc>
        <w:tc>
          <w:tcPr>
            <w:tcW w:w="1699" w:type="dxa"/>
            <w:vAlign w:val="center"/>
            <w:hideMark/>
          </w:tcPr>
          <w:p w14:paraId="40318E1D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799CEF6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BBE857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071335C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R$ 71.877.097,90</w:t>
            </w:r>
          </w:p>
        </w:tc>
        <w:tc>
          <w:tcPr>
            <w:tcW w:w="2268" w:type="dxa"/>
            <w:hideMark/>
          </w:tcPr>
          <w:p w14:paraId="0703877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R$ 74.330.166,90</w:t>
            </w:r>
          </w:p>
        </w:tc>
        <w:tc>
          <w:tcPr>
            <w:tcW w:w="2154" w:type="dxa"/>
            <w:hideMark/>
          </w:tcPr>
          <w:p w14:paraId="2D71789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-R$ 2.453.069,00</w:t>
            </w:r>
          </w:p>
        </w:tc>
        <w:tc>
          <w:tcPr>
            <w:tcW w:w="1699" w:type="dxa"/>
            <w:vAlign w:val="center"/>
            <w:hideMark/>
          </w:tcPr>
          <w:p w14:paraId="752CED5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FFFB19F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2A5A196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PRTB</w:t>
            </w:r>
          </w:p>
        </w:tc>
        <w:tc>
          <w:tcPr>
            <w:tcW w:w="2268" w:type="dxa"/>
            <w:hideMark/>
          </w:tcPr>
          <w:p w14:paraId="6734D8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716C0E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597E9CC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6951BE5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10F7F88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F4E0C70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403FD8E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R$ 147.637.680,85</w:t>
            </w:r>
          </w:p>
        </w:tc>
        <w:tc>
          <w:tcPr>
            <w:tcW w:w="2268" w:type="dxa"/>
            <w:hideMark/>
          </w:tcPr>
          <w:p w14:paraId="6C7153A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R$ 144.734.659,07</w:t>
            </w:r>
          </w:p>
        </w:tc>
        <w:tc>
          <w:tcPr>
            <w:tcW w:w="2154" w:type="dxa"/>
            <w:hideMark/>
          </w:tcPr>
          <w:p w14:paraId="52A26AC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+R$ 2.903.021,78</w:t>
            </w:r>
          </w:p>
        </w:tc>
        <w:tc>
          <w:tcPr>
            <w:tcW w:w="1699" w:type="dxa"/>
            <w:vAlign w:val="center"/>
            <w:hideMark/>
          </w:tcPr>
          <w:p w14:paraId="3BE6668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303F90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406F2D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699F161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R$ 420.971.570,08</w:t>
            </w:r>
          </w:p>
        </w:tc>
        <w:tc>
          <w:tcPr>
            <w:tcW w:w="2268" w:type="dxa"/>
            <w:hideMark/>
          </w:tcPr>
          <w:p w14:paraId="171F7774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R$ 434.375.007,75</w:t>
            </w:r>
          </w:p>
        </w:tc>
        <w:tc>
          <w:tcPr>
            <w:tcW w:w="2154" w:type="dxa"/>
            <w:hideMark/>
          </w:tcPr>
          <w:p w14:paraId="2D3663B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-R$ 13.403.437,67</w:t>
            </w:r>
          </w:p>
        </w:tc>
        <w:tc>
          <w:tcPr>
            <w:tcW w:w="1699" w:type="dxa"/>
            <w:vAlign w:val="center"/>
            <w:hideMark/>
          </w:tcPr>
          <w:p w14:paraId="1A9C8E18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1333DC7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A76226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lastRenderedPageBreak/>
              <w:t>PSDB</w:t>
            </w:r>
          </w:p>
        </w:tc>
        <w:tc>
          <w:tcPr>
            <w:tcW w:w="2268" w:type="dxa"/>
            <w:hideMark/>
          </w:tcPr>
          <w:p w14:paraId="311238C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R$ 147.950.332,67</w:t>
            </w:r>
          </w:p>
        </w:tc>
        <w:tc>
          <w:tcPr>
            <w:tcW w:w="2268" w:type="dxa"/>
            <w:hideMark/>
          </w:tcPr>
          <w:p w14:paraId="23195B6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R$ 153.106.528,71</w:t>
            </w:r>
          </w:p>
        </w:tc>
        <w:tc>
          <w:tcPr>
            <w:tcW w:w="2154" w:type="dxa"/>
            <w:hideMark/>
          </w:tcPr>
          <w:p w14:paraId="1ED5275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-R$ 5.156.196,04</w:t>
            </w:r>
          </w:p>
        </w:tc>
        <w:tc>
          <w:tcPr>
            <w:tcW w:w="1699" w:type="dxa"/>
            <w:vAlign w:val="center"/>
            <w:hideMark/>
          </w:tcPr>
          <w:p w14:paraId="7253C83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C67520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9E7569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250B1A5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R$ 126.893.829,69</w:t>
            </w:r>
          </w:p>
        </w:tc>
        <w:tc>
          <w:tcPr>
            <w:tcW w:w="2268" w:type="dxa"/>
            <w:hideMark/>
          </w:tcPr>
          <w:p w14:paraId="35FEED6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R$ 122.056.932,71</w:t>
            </w:r>
          </w:p>
        </w:tc>
        <w:tc>
          <w:tcPr>
            <w:tcW w:w="2154" w:type="dxa"/>
            <w:hideMark/>
          </w:tcPr>
          <w:p w14:paraId="0FE641D1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+R$ 4.836.896,98</w:t>
            </w:r>
          </w:p>
        </w:tc>
        <w:tc>
          <w:tcPr>
            <w:tcW w:w="1699" w:type="dxa"/>
            <w:vAlign w:val="center"/>
            <w:hideMark/>
          </w:tcPr>
          <w:p w14:paraId="0F77A7A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94868D7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2C30F1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PSTU</w:t>
            </w:r>
          </w:p>
        </w:tc>
        <w:tc>
          <w:tcPr>
            <w:tcW w:w="2268" w:type="dxa"/>
            <w:hideMark/>
          </w:tcPr>
          <w:p w14:paraId="3026CDE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5BB5197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4D9FA7B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0F16F5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27BDA97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9EAE7F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43D17DD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R$ 619.859.348,70</w:t>
            </w:r>
          </w:p>
        </w:tc>
        <w:tc>
          <w:tcPr>
            <w:tcW w:w="2268" w:type="dxa"/>
            <w:hideMark/>
          </w:tcPr>
          <w:p w14:paraId="56D67BC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R$ 605.986.703,74</w:t>
            </w:r>
          </w:p>
        </w:tc>
        <w:tc>
          <w:tcPr>
            <w:tcW w:w="2154" w:type="dxa"/>
            <w:hideMark/>
          </w:tcPr>
          <w:p w14:paraId="7D582C41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+R$ 13.872.644,96</w:t>
            </w:r>
          </w:p>
        </w:tc>
        <w:tc>
          <w:tcPr>
            <w:tcW w:w="1699" w:type="dxa"/>
            <w:vAlign w:val="center"/>
            <w:hideMark/>
          </w:tcPr>
          <w:p w14:paraId="3AA6B01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8238E5B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21BD90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7162D436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R$ 45.280.538,99</w:t>
            </w:r>
          </w:p>
        </w:tc>
        <w:tc>
          <w:tcPr>
            <w:tcW w:w="2268" w:type="dxa"/>
            <w:hideMark/>
          </w:tcPr>
          <w:p w14:paraId="77740B8F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R$ 46.312.910,51</w:t>
            </w:r>
          </w:p>
        </w:tc>
        <w:tc>
          <w:tcPr>
            <w:tcW w:w="2154" w:type="dxa"/>
            <w:hideMark/>
          </w:tcPr>
          <w:p w14:paraId="39EC552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-R$ 1.032.371,52</w:t>
            </w:r>
          </w:p>
        </w:tc>
        <w:tc>
          <w:tcPr>
            <w:tcW w:w="1699" w:type="dxa"/>
            <w:vAlign w:val="center"/>
            <w:hideMark/>
          </w:tcPr>
          <w:p w14:paraId="3A8C6C4D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A53BF91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18FE5E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24E336AA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R$ 35.900.485,05</w:t>
            </w:r>
          </w:p>
        </w:tc>
        <w:tc>
          <w:tcPr>
            <w:tcW w:w="2268" w:type="dxa"/>
            <w:hideMark/>
          </w:tcPr>
          <w:p w14:paraId="3BB4DB6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R$ 34.585.437,73</w:t>
            </w:r>
          </w:p>
        </w:tc>
        <w:tc>
          <w:tcPr>
            <w:tcW w:w="2154" w:type="dxa"/>
            <w:hideMark/>
          </w:tcPr>
          <w:p w14:paraId="2452728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+R$ 1.315.047,31</w:t>
            </w:r>
          </w:p>
        </w:tc>
        <w:tc>
          <w:tcPr>
            <w:tcW w:w="1699" w:type="dxa"/>
            <w:vAlign w:val="center"/>
            <w:hideMark/>
          </w:tcPr>
          <w:p w14:paraId="0A00C35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7419B7A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9E91662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5E0C9F57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R$ 343.901.521,34</w:t>
            </w:r>
          </w:p>
        </w:tc>
        <w:tc>
          <w:tcPr>
            <w:tcW w:w="2268" w:type="dxa"/>
            <w:hideMark/>
          </w:tcPr>
          <w:p w14:paraId="2549C27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R$ 341.611.972,92</w:t>
            </w:r>
          </w:p>
        </w:tc>
        <w:tc>
          <w:tcPr>
            <w:tcW w:w="2154" w:type="dxa"/>
            <w:hideMark/>
          </w:tcPr>
          <w:p w14:paraId="19B644B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+R$ 2.289.548,43</w:t>
            </w:r>
          </w:p>
        </w:tc>
        <w:tc>
          <w:tcPr>
            <w:tcW w:w="1699" w:type="dxa"/>
            <w:vAlign w:val="center"/>
            <w:hideMark/>
          </w:tcPr>
          <w:p w14:paraId="0077197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2CD6A56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9A7B3C7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51A88F2A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R$ 88.586.729,91</w:t>
            </w:r>
          </w:p>
        </w:tc>
        <w:tc>
          <w:tcPr>
            <w:tcW w:w="2268" w:type="dxa"/>
            <w:hideMark/>
          </w:tcPr>
          <w:p w14:paraId="4A892F1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R$ 85.959.309,07</w:t>
            </w:r>
          </w:p>
        </w:tc>
        <w:tc>
          <w:tcPr>
            <w:tcW w:w="2154" w:type="dxa"/>
            <w:hideMark/>
          </w:tcPr>
          <w:p w14:paraId="0BE0C10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+R$ 2.627.420,85</w:t>
            </w:r>
          </w:p>
        </w:tc>
        <w:tc>
          <w:tcPr>
            <w:tcW w:w="1699" w:type="dxa"/>
            <w:vAlign w:val="center"/>
            <w:hideMark/>
          </w:tcPr>
          <w:p w14:paraId="485AE9F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A13770A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D755063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UNIÃO</w:t>
            </w:r>
          </w:p>
        </w:tc>
        <w:tc>
          <w:tcPr>
            <w:tcW w:w="2268" w:type="dxa"/>
            <w:hideMark/>
          </w:tcPr>
          <w:p w14:paraId="1899DC6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R$ 536.557.338,93</w:t>
            </w:r>
          </w:p>
        </w:tc>
        <w:tc>
          <w:tcPr>
            <w:tcW w:w="2268" w:type="dxa"/>
            <w:hideMark/>
          </w:tcPr>
          <w:p w14:paraId="61AA222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R$ 536.596.401,09</w:t>
            </w:r>
          </w:p>
        </w:tc>
        <w:tc>
          <w:tcPr>
            <w:tcW w:w="2154" w:type="dxa"/>
            <w:hideMark/>
          </w:tcPr>
          <w:p w14:paraId="56EE1DB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-R$ 39.062,16</w:t>
            </w:r>
          </w:p>
        </w:tc>
        <w:tc>
          <w:tcPr>
            <w:tcW w:w="1699" w:type="dxa"/>
            <w:vAlign w:val="center"/>
            <w:hideMark/>
          </w:tcPr>
          <w:p w14:paraId="07F701F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B8E1D27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CA7C5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UP</w:t>
            </w:r>
          </w:p>
        </w:tc>
        <w:tc>
          <w:tcPr>
            <w:tcW w:w="2268" w:type="dxa"/>
            <w:hideMark/>
          </w:tcPr>
          <w:p w14:paraId="3E11214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3236441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66DEC8A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BC54FA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</w:tbl>
    <w:p w14:paraId="06012655" w14:textId="77777777" w:rsidR="00BB1499" w:rsidRPr="00BB1499" w:rsidRDefault="00BB1499" w:rsidP="008F230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FEFC 2024; a tabela abaixo usa a estrutura partidária consolidada para manter comparabilidade entre os anos: </w:t>
      </w:r>
      <w:hyperlink r:id="rId32" w:history="1">
        <w:r w:rsidRPr="00BB1499">
          <w:rPr>
            <w:rStyle w:val="Hyperlink"/>
          </w:rPr>
          <w:t>FEFC 2024</w:t>
        </w:r>
      </w:hyperlink>
      <w:r w:rsidRPr="00BB1499">
        <w:t>.</w:t>
      </w:r>
    </w:p>
    <w:p w14:paraId="75283117" w14:textId="77777777" w:rsidR="00BB1499" w:rsidRPr="00BB1499" w:rsidRDefault="00BB1499" w:rsidP="00523E60">
      <w:pPr>
        <w:pStyle w:val="TTULOSUBITEM11"/>
      </w:pPr>
      <w:r w:rsidRPr="00BB1499">
        <w:t>7.4 Fundo Partidário 2025</w:t>
      </w:r>
    </w:p>
    <w:p w14:paraId="21F031A0" w14:textId="77777777" w:rsidR="00BB1499" w:rsidRPr="00BB1499" w:rsidRDefault="00BB1499" w:rsidP="00BB1499">
      <w:pPr>
        <w:pStyle w:val="CORPOPADRO"/>
      </w:pPr>
      <w:r w:rsidRPr="00BB1499">
        <w:t xml:space="preserve">No Fundo Partidário 2025, o maior ganho associado à regra atual aparece em PC do B, com +R$ 4.243.686,02. O maior deslocamento em </w:t>
      </w:r>
      <w:r w:rsidRPr="00BB1499">
        <w:lastRenderedPageBreak/>
        <w:t>sentido oposto aparece em PSD, que receberia R$ 8.323.725,62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72D17D47" w14:textId="77777777" w:rsidTr="007C4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16AC7AC1" w14:textId="77777777" w:rsidR="00BB1499" w:rsidRPr="00BB1499" w:rsidRDefault="00BB1499" w:rsidP="007C476A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71EDF75B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51375592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52DA9116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25FCEB09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390741F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9BFF1C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03ABF342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R$ 27.092.865,42</w:t>
            </w:r>
          </w:p>
        </w:tc>
        <w:tc>
          <w:tcPr>
            <w:tcW w:w="2268" w:type="dxa"/>
            <w:hideMark/>
          </w:tcPr>
          <w:p w14:paraId="769FDDC6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R$ 26.290.161,55</w:t>
            </w:r>
          </w:p>
        </w:tc>
        <w:tc>
          <w:tcPr>
            <w:tcW w:w="2154" w:type="dxa"/>
            <w:hideMark/>
          </w:tcPr>
          <w:p w14:paraId="6E0BFAF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+R$ 802.703,87</w:t>
            </w:r>
          </w:p>
        </w:tc>
        <w:tc>
          <w:tcPr>
            <w:tcW w:w="1699" w:type="dxa"/>
            <w:vAlign w:val="center"/>
            <w:hideMark/>
          </w:tcPr>
          <w:p w14:paraId="5CA8210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3A9101E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67B4E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238C7655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R$ 14.939.832,96</w:t>
            </w:r>
          </w:p>
        </w:tc>
        <w:tc>
          <w:tcPr>
            <w:tcW w:w="2268" w:type="dxa"/>
            <w:hideMark/>
          </w:tcPr>
          <w:p w14:paraId="5EA467C1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R$ 15.896.300,48</w:t>
            </w:r>
          </w:p>
        </w:tc>
        <w:tc>
          <w:tcPr>
            <w:tcW w:w="2154" w:type="dxa"/>
            <w:hideMark/>
          </w:tcPr>
          <w:p w14:paraId="642D3EE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-R$ 956.467,52</w:t>
            </w:r>
          </w:p>
        </w:tc>
        <w:tc>
          <w:tcPr>
            <w:tcW w:w="1699" w:type="dxa"/>
            <w:vAlign w:val="center"/>
            <w:hideMark/>
          </w:tcPr>
          <w:p w14:paraId="36D27A4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417646C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DC1615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6147EC8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R$ 82.009.481,23</w:t>
            </w:r>
          </w:p>
        </w:tc>
        <w:tc>
          <w:tcPr>
            <w:tcW w:w="2268" w:type="dxa"/>
            <w:hideMark/>
          </w:tcPr>
          <w:p w14:paraId="1F4A137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R$ 84.964.873,10</w:t>
            </w:r>
          </w:p>
        </w:tc>
        <w:tc>
          <w:tcPr>
            <w:tcW w:w="2154" w:type="dxa"/>
            <w:hideMark/>
          </w:tcPr>
          <w:p w14:paraId="77DAACCD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-R$ 2.955.391,87</w:t>
            </w:r>
          </w:p>
        </w:tc>
        <w:tc>
          <w:tcPr>
            <w:tcW w:w="1699" w:type="dxa"/>
            <w:vAlign w:val="center"/>
            <w:hideMark/>
          </w:tcPr>
          <w:p w14:paraId="1B24211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AD815FA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0746BFD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2D5F79D7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R$ 18.157.754,57</w:t>
            </w:r>
          </w:p>
        </w:tc>
        <w:tc>
          <w:tcPr>
            <w:tcW w:w="2268" w:type="dxa"/>
            <w:hideMark/>
          </w:tcPr>
          <w:p w14:paraId="42D1F80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R$ 14.192.831,41</w:t>
            </w:r>
          </w:p>
        </w:tc>
        <w:tc>
          <w:tcPr>
            <w:tcW w:w="2154" w:type="dxa"/>
            <w:hideMark/>
          </w:tcPr>
          <w:p w14:paraId="0C253D5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+R$ 3.964.923,16</w:t>
            </w:r>
          </w:p>
        </w:tc>
        <w:tc>
          <w:tcPr>
            <w:tcW w:w="1699" w:type="dxa"/>
            <w:vAlign w:val="center"/>
            <w:hideMark/>
          </w:tcPr>
          <w:p w14:paraId="0BAE5AA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6D5763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ECFED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59E418A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R$ 40.611.004,37</w:t>
            </w:r>
          </w:p>
        </w:tc>
        <w:tc>
          <w:tcPr>
            <w:tcW w:w="2268" w:type="dxa"/>
            <w:hideMark/>
          </w:tcPr>
          <w:p w14:paraId="1E92F72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R$ 38.424.260,39</w:t>
            </w:r>
          </w:p>
        </w:tc>
        <w:tc>
          <w:tcPr>
            <w:tcW w:w="2154" w:type="dxa"/>
            <w:hideMark/>
          </w:tcPr>
          <w:p w14:paraId="0720019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+R$ 2.186.743,98</w:t>
            </w:r>
          </w:p>
        </w:tc>
        <w:tc>
          <w:tcPr>
            <w:tcW w:w="1699" w:type="dxa"/>
            <w:vAlign w:val="center"/>
            <w:hideMark/>
          </w:tcPr>
          <w:p w14:paraId="71E8B0D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9220B8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625A9F2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2DF59410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R$ 192.154.880,51</w:t>
            </w:r>
          </w:p>
        </w:tc>
        <w:tc>
          <w:tcPr>
            <w:tcW w:w="2268" w:type="dxa"/>
            <w:hideMark/>
          </w:tcPr>
          <w:p w14:paraId="413DF9E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R$ 195.191.735,92</w:t>
            </w:r>
          </w:p>
        </w:tc>
        <w:tc>
          <w:tcPr>
            <w:tcW w:w="2154" w:type="dxa"/>
            <w:hideMark/>
          </w:tcPr>
          <w:p w14:paraId="01A9402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-R$ 3.036.855,41</w:t>
            </w:r>
          </w:p>
        </w:tc>
        <w:tc>
          <w:tcPr>
            <w:tcW w:w="1699" w:type="dxa"/>
            <w:vAlign w:val="center"/>
            <w:hideMark/>
          </w:tcPr>
          <w:p w14:paraId="550EF03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F7E6C1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A202888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268" w:type="dxa"/>
            <w:hideMark/>
          </w:tcPr>
          <w:p w14:paraId="6EBFCCFC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R$ 53.761.901,69</w:t>
            </w:r>
          </w:p>
        </w:tc>
        <w:tc>
          <w:tcPr>
            <w:tcW w:w="2268" w:type="dxa"/>
            <w:hideMark/>
          </w:tcPr>
          <w:p w14:paraId="4F27C8B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R$ 56.224.371,53</w:t>
            </w:r>
          </w:p>
        </w:tc>
        <w:tc>
          <w:tcPr>
            <w:tcW w:w="2154" w:type="dxa"/>
            <w:hideMark/>
          </w:tcPr>
          <w:p w14:paraId="444D222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-R$ 2.462.469,84</w:t>
            </w:r>
          </w:p>
        </w:tc>
        <w:tc>
          <w:tcPr>
            <w:tcW w:w="1699" w:type="dxa"/>
            <w:vAlign w:val="center"/>
            <w:hideMark/>
          </w:tcPr>
          <w:p w14:paraId="5E22FE3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0AAA132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005F42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6F74DD7A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R$ 71.242.517,42</w:t>
            </w:r>
          </w:p>
        </w:tc>
        <w:tc>
          <w:tcPr>
            <w:tcW w:w="2268" w:type="dxa"/>
            <w:hideMark/>
          </w:tcPr>
          <w:p w14:paraId="7161729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R$ 70.907.362,18</w:t>
            </w:r>
          </w:p>
        </w:tc>
        <w:tc>
          <w:tcPr>
            <w:tcW w:w="2154" w:type="dxa"/>
            <w:hideMark/>
          </w:tcPr>
          <w:p w14:paraId="427568EA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+R$ 335.155,24</w:t>
            </w:r>
          </w:p>
        </w:tc>
        <w:tc>
          <w:tcPr>
            <w:tcW w:w="1699" w:type="dxa"/>
            <w:vAlign w:val="center"/>
            <w:hideMark/>
          </w:tcPr>
          <w:p w14:paraId="2D46A80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A24B05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9AC9DFF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2E3624A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R$ 31.310.392,93</w:t>
            </w:r>
          </w:p>
        </w:tc>
        <w:tc>
          <w:tcPr>
            <w:tcW w:w="2268" w:type="dxa"/>
            <w:hideMark/>
          </w:tcPr>
          <w:p w14:paraId="6E287BB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R$ 32.716.348,43</w:t>
            </w:r>
          </w:p>
        </w:tc>
        <w:tc>
          <w:tcPr>
            <w:tcW w:w="2154" w:type="dxa"/>
            <w:hideMark/>
          </w:tcPr>
          <w:p w14:paraId="221F416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-R$ 1.405.955,50</w:t>
            </w:r>
          </w:p>
        </w:tc>
        <w:tc>
          <w:tcPr>
            <w:tcW w:w="1699" w:type="dxa"/>
            <w:vAlign w:val="center"/>
            <w:hideMark/>
          </w:tcPr>
          <w:p w14:paraId="241BB95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874B3A3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B24E7C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41DD1C94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R$ 49.518.730,48</w:t>
            </w:r>
          </w:p>
        </w:tc>
        <w:tc>
          <w:tcPr>
            <w:tcW w:w="2268" w:type="dxa"/>
            <w:hideMark/>
          </w:tcPr>
          <w:p w14:paraId="5A9E3EB1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R$ 47.561.156,75</w:t>
            </w:r>
          </w:p>
        </w:tc>
        <w:tc>
          <w:tcPr>
            <w:tcW w:w="2154" w:type="dxa"/>
            <w:hideMark/>
          </w:tcPr>
          <w:p w14:paraId="03D7FFD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+R$ 1.957.573,73</w:t>
            </w:r>
          </w:p>
        </w:tc>
        <w:tc>
          <w:tcPr>
            <w:tcW w:w="1699" w:type="dxa"/>
            <w:vAlign w:val="center"/>
            <w:hideMark/>
          </w:tcPr>
          <w:p w14:paraId="107EB86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5FCC5B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01C4FDA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lastRenderedPageBreak/>
              <w:t>PSD</w:t>
            </w:r>
          </w:p>
        </w:tc>
        <w:tc>
          <w:tcPr>
            <w:tcW w:w="2268" w:type="dxa"/>
            <w:hideMark/>
          </w:tcPr>
          <w:p w14:paraId="39303DA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R$ 84.183.150,69</w:t>
            </w:r>
          </w:p>
        </w:tc>
        <w:tc>
          <w:tcPr>
            <w:tcW w:w="2268" w:type="dxa"/>
            <w:hideMark/>
          </w:tcPr>
          <w:p w14:paraId="0ABA193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R$ 91.960.100,34</w:t>
            </w:r>
          </w:p>
        </w:tc>
        <w:tc>
          <w:tcPr>
            <w:tcW w:w="2154" w:type="dxa"/>
            <w:hideMark/>
          </w:tcPr>
          <w:p w14:paraId="206736BE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-R$ 7.776.949,65</w:t>
            </w:r>
          </w:p>
        </w:tc>
        <w:tc>
          <w:tcPr>
            <w:tcW w:w="1699" w:type="dxa"/>
            <w:vAlign w:val="center"/>
            <w:hideMark/>
          </w:tcPr>
          <w:p w14:paraId="32ABDAF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6FDE4F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D3A0B52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46D11CB5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R$ 26.557.539,26</w:t>
            </w:r>
          </w:p>
        </w:tc>
        <w:tc>
          <w:tcPr>
            <w:tcW w:w="2268" w:type="dxa"/>
            <w:hideMark/>
          </w:tcPr>
          <w:p w14:paraId="5F473660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R$ 30.106.045,14</w:t>
            </w:r>
          </w:p>
        </w:tc>
        <w:tc>
          <w:tcPr>
            <w:tcW w:w="2154" w:type="dxa"/>
            <w:hideMark/>
          </w:tcPr>
          <w:p w14:paraId="49FDECEC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-R$ 3.548.505,88</w:t>
            </w:r>
          </w:p>
        </w:tc>
        <w:tc>
          <w:tcPr>
            <w:tcW w:w="1699" w:type="dxa"/>
            <w:vAlign w:val="center"/>
            <w:hideMark/>
          </w:tcPr>
          <w:p w14:paraId="2D76F0B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A08DA75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5469A73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509FEDC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R$ 47.370.676,79</w:t>
            </w:r>
          </w:p>
        </w:tc>
        <w:tc>
          <w:tcPr>
            <w:tcW w:w="2268" w:type="dxa"/>
            <w:hideMark/>
          </w:tcPr>
          <w:p w14:paraId="227156B1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R$ 43.779.017,28</w:t>
            </w:r>
          </w:p>
        </w:tc>
        <w:tc>
          <w:tcPr>
            <w:tcW w:w="2154" w:type="dxa"/>
            <w:hideMark/>
          </w:tcPr>
          <w:p w14:paraId="711779A6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+R$ 3.591.659,51</w:t>
            </w:r>
          </w:p>
        </w:tc>
        <w:tc>
          <w:tcPr>
            <w:tcW w:w="1699" w:type="dxa"/>
            <w:vAlign w:val="center"/>
            <w:hideMark/>
          </w:tcPr>
          <w:p w14:paraId="2CA2BBB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E01B458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0B1BF6D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7E099B6D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R$ 140.467.359,38</w:t>
            </w:r>
          </w:p>
        </w:tc>
        <w:tc>
          <w:tcPr>
            <w:tcW w:w="2268" w:type="dxa"/>
            <w:hideMark/>
          </w:tcPr>
          <w:p w14:paraId="519C94D7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R$ 137.514.402,90</w:t>
            </w:r>
          </w:p>
        </w:tc>
        <w:tc>
          <w:tcPr>
            <w:tcW w:w="2154" w:type="dxa"/>
            <w:hideMark/>
          </w:tcPr>
          <w:p w14:paraId="7F06D9D6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+R$ 2.952.956,48</w:t>
            </w:r>
          </w:p>
        </w:tc>
        <w:tc>
          <w:tcPr>
            <w:tcW w:w="1699" w:type="dxa"/>
            <w:vAlign w:val="center"/>
            <w:hideMark/>
          </w:tcPr>
          <w:p w14:paraId="44DFEFD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C76ABD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270839E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3175EA3D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R$ 11.810.471,56</w:t>
            </w:r>
          </w:p>
        </w:tc>
        <w:tc>
          <w:tcPr>
            <w:tcW w:w="2268" w:type="dxa"/>
            <w:hideMark/>
          </w:tcPr>
          <w:p w14:paraId="13A7F597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R$ 12.603.031,37</w:t>
            </w:r>
          </w:p>
        </w:tc>
        <w:tc>
          <w:tcPr>
            <w:tcW w:w="2154" w:type="dxa"/>
            <w:hideMark/>
          </w:tcPr>
          <w:p w14:paraId="2D855AA7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-R$ 792.559,81</w:t>
            </w:r>
          </w:p>
        </w:tc>
        <w:tc>
          <w:tcPr>
            <w:tcW w:w="1699" w:type="dxa"/>
            <w:vAlign w:val="center"/>
            <w:hideMark/>
          </w:tcPr>
          <w:p w14:paraId="6FF3865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CD6B9E5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FAB8CA9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133FE75E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R$ 12.106.608,60</w:t>
            </w:r>
          </w:p>
        </w:tc>
        <w:tc>
          <w:tcPr>
            <w:tcW w:w="2268" w:type="dxa"/>
            <w:hideMark/>
          </w:tcPr>
          <w:p w14:paraId="159BCEED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R$ 11.208.995,83</w:t>
            </w:r>
          </w:p>
        </w:tc>
        <w:tc>
          <w:tcPr>
            <w:tcW w:w="2154" w:type="dxa"/>
            <w:hideMark/>
          </w:tcPr>
          <w:p w14:paraId="155E226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+R$ 897.612,77</w:t>
            </w:r>
          </w:p>
        </w:tc>
        <w:tc>
          <w:tcPr>
            <w:tcW w:w="1699" w:type="dxa"/>
            <w:vAlign w:val="center"/>
            <w:hideMark/>
          </w:tcPr>
          <w:p w14:paraId="575AAE1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3A1E1AC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A66F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601D694A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R$ 87.704.215,46</w:t>
            </w:r>
          </w:p>
        </w:tc>
        <w:tc>
          <w:tcPr>
            <w:tcW w:w="2268" w:type="dxa"/>
            <w:hideMark/>
          </w:tcPr>
          <w:p w14:paraId="635D221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R$ 84.981.960,44</w:t>
            </w:r>
          </w:p>
        </w:tc>
        <w:tc>
          <w:tcPr>
            <w:tcW w:w="2154" w:type="dxa"/>
            <w:hideMark/>
          </w:tcPr>
          <w:p w14:paraId="06F1768B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+R$ 2.722.255,02</w:t>
            </w:r>
          </w:p>
        </w:tc>
        <w:tc>
          <w:tcPr>
            <w:tcW w:w="1699" w:type="dxa"/>
            <w:vAlign w:val="center"/>
            <w:hideMark/>
          </w:tcPr>
          <w:p w14:paraId="785D701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741951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5B49B1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1D26ECB6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R$ 27.939.138,51</w:t>
            </w:r>
          </w:p>
        </w:tc>
        <w:tc>
          <w:tcPr>
            <w:tcW w:w="2268" w:type="dxa"/>
            <w:hideMark/>
          </w:tcPr>
          <w:p w14:paraId="7953BAAF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R$ 25.944.761,58</w:t>
            </w:r>
          </w:p>
        </w:tc>
        <w:tc>
          <w:tcPr>
            <w:tcW w:w="2154" w:type="dxa"/>
            <w:hideMark/>
          </w:tcPr>
          <w:p w14:paraId="1C2DD11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+R$ 1.994.376,93</w:t>
            </w:r>
          </w:p>
        </w:tc>
        <w:tc>
          <w:tcPr>
            <w:tcW w:w="1699" w:type="dxa"/>
            <w:vAlign w:val="center"/>
            <w:hideMark/>
          </w:tcPr>
          <w:p w14:paraId="24BB79E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22053F7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A01C0AA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UNIÃO</w:t>
            </w:r>
          </w:p>
        </w:tc>
        <w:tc>
          <w:tcPr>
            <w:tcW w:w="2268" w:type="dxa"/>
            <w:hideMark/>
          </w:tcPr>
          <w:p w14:paraId="704918C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R$ 107.132.974,30</w:t>
            </w:r>
          </w:p>
        </w:tc>
        <w:tc>
          <w:tcPr>
            <w:tcW w:w="2268" w:type="dxa"/>
            <w:hideMark/>
          </w:tcPr>
          <w:p w14:paraId="3F47FD5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R$ 105.603.779,52</w:t>
            </w:r>
          </w:p>
        </w:tc>
        <w:tc>
          <w:tcPr>
            <w:tcW w:w="2154" w:type="dxa"/>
            <w:hideMark/>
          </w:tcPr>
          <w:p w14:paraId="47CE6F8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+R$ 1.529.194,78</w:t>
            </w:r>
          </w:p>
        </w:tc>
        <w:tc>
          <w:tcPr>
            <w:tcW w:w="1699" w:type="dxa"/>
            <w:vAlign w:val="center"/>
            <w:hideMark/>
          </w:tcPr>
          <w:p w14:paraId="5599A37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2D41CE66" w14:textId="77777777" w:rsidR="00BB1499" w:rsidRPr="00BB1499" w:rsidRDefault="00BB1499" w:rsidP="007C476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2025; a tabela abaixo usa a estrutura partidária consolidada para manter comparabilidade entre os anos: </w:t>
      </w:r>
      <w:hyperlink r:id="rId33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 w14:paraId="5097E437" w14:textId="77777777" w:rsidR="00BB1499" w:rsidRPr="00BB1499" w:rsidRDefault="00BB1499" w:rsidP="007C476A">
      <w:pPr>
        <w:pStyle w:val="TTULOITEM1"/>
        <w:rPr>
          <w:snapToGrid w:val="0"/>
        </w:rPr>
      </w:pPr>
      <w:r w:rsidRPr="00BB1499">
        <w:rPr>
          <w:snapToGrid w:val="0"/>
        </w:rPr>
        <w:t>8. Limites da simulação</w:t>
      </w:r>
    </w:p>
    <w:p w14:paraId="6E1AF58F" w14:textId="37B165F5" w:rsidR="00BB1499" w:rsidRPr="00BB1499" w:rsidRDefault="00BB1499" w:rsidP="00BB1499">
      <w:pPr>
        <w:pStyle w:val="CORPOPADRO"/>
      </w:pPr>
      <w:r w:rsidRPr="00BB1499">
        <w:t xml:space="preserve">Este estudo mede o efeito da regra com os dados oficiais já disponíveis. Como a EC nº 111/2021 vale para as eleições </w:t>
      </w:r>
      <w:r w:rsidR="00B36EEB">
        <w:t xml:space="preserve">realizadas em outubro de </w:t>
      </w:r>
      <w:r w:rsidRPr="00BB1499">
        <w:t xml:space="preserve">2022 a </w:t>
      </w:r>
      <w:r w:rsidR="00B36EEB">
        <w:t xml:space="preserve">outubro de </w:t>
      </w:r>
      <w:r w:rsidRPr="00BB1499">
        <w:t>2030, a distribuição futura poderá mudar quando houver nova eleição para a Câmara dos Deputados.</w:t>
      </w:r>
    </w:p>
    <w:p w14:paraId="3481848B" w14:textId="1EC73FF8" w:rsidR="00BB1499" w:rsidRPr="00BB1499" w:rsidRDefault="00BB1499" w:rsidP="00BB1499">
      <w:pPr>
        <w:pStyle w:val="CORPOPADRO"/>
      </w:pPr>
      <w:r w:rsidRPr="00BB1499">
        <w:lastRenderedPageBreak/>
        <w:t>Também é importante observar que a simulação não ref</w:t>
      </w:r>
      <w:r w:rsidR="00761F6B">
        <w:t>e</w:t>
      </w:r>
      <w:r w:rsidRPr="00BB1499">
        <w:t>z todo o cálculo administrativo dos fundos. O objetivo é mais estreito: isolar a parcela que depende da votação para a Câmara e verificar como ela muda quando se retira o peso dobrado dos votos dados a mulheres e pessoas negras.</w:t>
      </w:r>
      <w:r w:rsidR="00AD305A">
        <w:t xml:space="preserve"> Essa menção se justifica porque as </w:t>
      </w:r>
      <w:r w:rsidRPr="00BB1499">
        <w:t xml:space="preserve">planilhas do Fundo Partidário registram </w:t>
      </w:r>
      <w:proofErr w:type="spellStart"/>
      <w:r w:rsidRPr="00BB1499">
        <w:t>GRUs</w:t>
      </w:r>
      <w:proofErr w:type="spellEnd"/>
      <w:r w:rsidRPr="00BB1499">
        <w:t>, bloqueios, depósitos judiciais e ajustes próprios de cada exercício.</w:t>
      </w:r>
      <w:r w:rsidR="00692096">
        <w:t xml:space="preserve"> </w:t>
      </w:r>
      <w:r w:rsidRPr="00BB1499">
        <w:t>A simulação substitui apenas a parcela proporcional aos votos, para que o efeito observado seja o da regra constitucional, e não o de movimentações administrativas específicas ocasionadas, por exemplo, por força de decisões judiciais posteriores.</w:t>
      </w:r>
    </w:p>
    <w:p w14:paraId="67C6A10F" w14:textId="77777777" w:rsidR="00BB1499" w:rsidRPr="00BB1499" w:rsidRDefault="00BB1499" w:rsidP="00692096">
      <w:pPr>
        <w:pStyle w:val="TTULOITEM1"/>
        <w:rPr>
          <w:snapToGrid w:val="0"/>
        </w:rPr>
      </w:pPr>
      <w:r w:rsidRPr="00BB1499">
        <w:rPr>
          <w:snapToGrid w:val="0"/>
        </w:rPr>
        <w:t>9. Conclusão</w:t>
      </w:r>
    </w:p>
    <w:p w14:paraId="4A1DB11D" w14:textId="6D408F7D" w:rsidR="00BB1499" w:rsidRPr="00BB1499" w:rsidRDefault="00BB1499" w:rsidP="00BB1499">
      <w:pPr>
        <w:pStyle w:val="CORPOPADRO"/>
      </w:pPr>
      <w:r w:rsidRPr="00BB1499">
        <w:t>A EC nº 111/2021 funciona como um incentivo financeiro para que os partidos lancem e apoiem candidaturas competitivas de mulheres e pessoas negras. Seu efeito não é simbólico</w:t>
      </w:r>
      <w:r w:rsidR="00692096">
        <w:t xml:space="preserve">, pois </w:t>
      </w:r>
      <w:r w:rsidRPr="00BB1499">
        <w:t>aparece em valores concretos na distribuição dos recursos públicos. Ao mesmo tempo, o mecanismo é limitado, porque só incide sobre as parcelas dos fundos que dependem dos votos para a Câmara dos Deputados.</w:t>
      </w:r>
    </w:p>
    <w:p w14:paraId="28B243D6" w14:textId="77777777" w:rsidR="00BB1499" w:rsidRPr="00BB1499" w:rsidRDefault="00BB1499" w:rsidP="00BB1499">
      <w:pPr>
        <w:pStyle w:val="CORPOPADRO"/>
      </w:pPr>
      <w:r w:rsidRPr="00BB1499">
        <w:t>O principal ponto é que a regra cumpre uma função de incentivo, pois aproxima o interesse financeiro dos partidos da promoção de candidaturas de mulheres e pessoas negras. O debate sobre sua manutenção, aperfeiçoamento ou encerramento em 2030 deve considerar esse efeito concreto.</w:t>
      </w:r>
    </w:p>
    <w:p w14:paraId="59E123B6" w14:textId="77777777" w:rsidR="00BB1499" w:rsidRPr="00BB1499" w:rsidRDefault="00BB1499" w:rsidP="00692096">
      <w:pPr>
        <w:pStyle w:val="TTULOITEM1"/>
        <w:rPr>
          <w:snapToGrid w:val="0"/>
        </w:rPr>
      </w:pPr>
      <w:r w:rsidRPr="00BB1499">
        <w:rPr>
          <w:snapToGrid w:val="0"/>
        </w:rPr>
        <w:t>10. Fontes</w:t>
      </w:r>
    </w:p>
    <w:p w14:paraId="2D23D516" w14:textId="77777777" w:rsidR="00BB1499" w:rsidRPr="00BB1499" w:rsidRDefault="00BB1499" w:rsidP="00692096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Emenda Constitucional nº 111, de 28 de setembro de 2021</w:t>
      </w:r>
      <w:r w:rsidRPr="00BB1499">
        <w:t xml:space="preserve">. Altera o Ato das Disposições Constitucionais Transitórias, para estabelecer que os votos dados a candidatas mulheres ou a candidatos negros para a Câmara dos Deputados, nas eleições realizadas de 2022 a 2030, sejam contados em dobro para efeito da distribuição entre os partidos dos recursos do Fundo Partidário e do Fundo Especial de Financiamento de Campanha. Brasília, DF: Presidência da República, 2021. Disponível em: </w:t>
      </w:r>
      <w:hyperlink r:id="rId34" w:history="1">
        <w:r w:rsidRPr="00BB1499">
          <w:rPr>
            <w:rStyle w:val="Hyperlink"/>
          </w:rPr>
          <w:t>https://www.planalto.gov.br/ccivil_03/Constituicao/Emendas/Emc/emc111.htm</w:t>
        </w:r>
      </w:hyperlink>
      <w:r w:rsidRPr="00BB1499">
        <w:t>. Acesso em: 21 maio 2026.</w:t>
      </w:r>
    </w:p>
    <w:p w14:paraId="52B269E8" w14:textId="77777777" w:rsidR="00BB1499" w:rsidRPr="00BB1499" w:rsidRDefault="00BB1499" w:rsidP="00692096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Lei nº 9.096, de 19 de setembro de 1995</w:t>
      </w:r>
      <w:r w:rsidRPr="00BB1499">
        <w:t xml:space="preserve">. Dispõe sobre partidos políticos, regulamenta os </w:t>
      </w:r>
      <w:proofErr w:type="spellStart"/>
      <w:r w:rsidRPr="00BB1499">
        <w:t>arts</w:t>
      </w:r>
      <w:proofErr w:type="spellEnd"/>
      <w:r w:rsidRPr="00BB1499">
        <w:t xml:space="preserve">. 17 e 14, § 3º, inciso V, da Constituição Federal. Brasília, DF: Presidência da República, 1995. Disponível em: </w:t>
      </w:r>
      <w:hyperlink r:id="rId35" w:history="1">
        <w:r w:rsidRPr="00BB1499">
          <w:rPr>
            <w:rStyle w:val="Hyperlink"/>
          </w:rPr>
          <w:t>https://www.planalto.gov.br/ccivil_03/Leis/L9096.htm</w:t>
        </w:r>
      </w:hyperlink>
      <w:r w:rsidRPr="00BB1499">
        <w:t>. Acesso em: 21 maio 2026.</w:t>
      </w:r>
    </w:p>
    <w:p w14:paraId="2195DCF9" w14:textId="77777777" w:rsidR="00BB1499" w:rsidRPr="00BB1499" w:rsidRDefault="00BB1499" w:rsidP="00166FAA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Lei nº 9.504, de 30 de setembro de 1997</w:t>
      </w:r>
      <w:r w:rsidRPr="00BB1499">
        <w:t xml:space="preserve">. Estabelece normas para as eleições. Brasília, DF: Presidência da República, 1997. Disponível em: </w:t>
      </w:r>
      <w:hyperlink r:id="rId36" w:history="1">
        <w:r w:rsidRPr="00BB1499">
          <w:rPr>
            <w:rStyle w:val="Hyperlink"/>
          </w:rPr>
          <w:t>https://www.planalto.gov.br/ccivil_03/Leis/L9504compilado.htm</w:t>
        </w:r>
      </w:hyperlink>
      <w:r w:rsidRPr="00BB1499">
        <w:t>. Acesso em: 21 maio 2026.</w:t>
      </w:r>
    </w:p>
    <w:p w14:paraId="0D4B0152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Cálculo de distribuição do Fundo Especial de Financiamento de Campanha — Eleições 2022</w:t>
      </w:r>
      <w:r w:rsidRPr="00BB1499">
        <w:t xml:space="preserve">. Brasília, DF: TSE, 2022. Disponível em: </w:t>
      </w:r>
      <w:hyperlink r:id="rId37" w:history="1">
        <w:r w:rsidRPr="00BB1499">
          <w:rPr>
            <w:rStyle w:val="Hyperlink"/>
          </w:rPr>
          <w:t>https://www.tse.jus.br/eleicoes/eleicoes-2022/prestacao-de-contas/arquivos/calculo-de-distribuicao-do-fefc</w:t>
        </w:r>
      </w:hyperlink>
      <w:r w:rsidRPr="00BB1499">
        <w:t>. Acesso em: 21 maio 2026.</w:t>
      </w:r>
    </w:p>
    <w:p w14:paraId="117E577F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Cálculo do Fundo Especial de Financiamento de Campanha — Eleições 2024</w:t>
      </w:r>
      <w:r w:rsidRPr="00BB1499">
        <w:t xml:space="preserve">. Brasília, DF: TSE, 2024. Disponível em: </w:t>
      </w:r>
      <w:hyperlink r:id="rId38" w:history="1">
        <w:r w:rsidRPr="00BB1499">
          <w:rPr>
            <w:rStyle w:val="Hyperlink"/>
          </w:rPr>
          <w:t>https://www.tse.jus.br/eleicoes/eleicoes-2024-content/arquivos/calculo-fundo-especial-financiamento-de-campanha-2024</w:t>
        </w:r>
      </w:hyperlink>
      <w:r w:rsidRPr="00BB1499">
        <w:t>. Acesso em: 21 maio 2026.</w:t>
      </w:r>
    </w:p>
    <w:p w14:paraId="36EF5929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Dados abertos</w:t>
      </w:r>
      <w:r w:rsidRPr="00BB1499">
        <w:t xml:space="preserve">. Brasília, DF: TSE, [202-?]. Disponível em: </w:t>
      </w:r>
      <w:hyperlink r:id="rId39" w:history="1">
        <w:r w:rsidRPr="00BB1499">
          <w:rPr>
            <w:rStyle w:val="Hyperlink"/>
          </w:rPr>
          <w:t>https://dadosabertos.tse.jus.br/</w:t>
        </w:r>
      </w:hyperlink>
      <w:r w:rsidRPr="00BB1499">
        <w:t>. Acesso em: 21 maio 2026.</w:t>
      </w:r>
    </w:p>
    <w:p w14:paraId="173C5250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Dotação orçamentária do Fundo Partidário — dezembro de 2022</w:t>
      </w:r>
      <w:r w:rsidRPr="00BB1499">
        <w:t xml:space="preserve">. Brasília, DF: TSE, 2022. Disponível em: </w:t>
      </w:r>
      <w:hyperlink r:id="rId40" w:history="1">
        <w:r w:rsidRPr="00BB1499">
          <w:rPr>
            <w:rStyle w:val="Hyperlink"/>
          </w:rPr>
          <w:t>https://www.tse.jus.br/partidos/contas-partidarias/fundo-partidario-1/arquivos/2022/tse-dotacao-orcamentaria-dezembro-2022</w:t>
        </w:r>
      </w:hyperlink>
      <w:r w:rsidRPr="00BB1499">
        <w:t>. Acesso em: 21 maio 2026.</w:t>
      </w:r>
    </w:p>
    <w:p w14:paraId="002E876E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exercício 2023 (republicada em 2024)</w:t>
      </w:r>
      <w:r w:rsidRPr="00BB1499">
        <w:t xml:space="preserve">. Brasília, DF: TSE, 2024. Disponível em: </w:t>
      </w:r>
      <w:hyperlink r:id="rId41" w:history="1">
        <w:r w:rsidRPr="00BB1499">
          <w:rPr>
            <w:rStyle w:val="Hyperlink"/>
          </w:rPr>
          <w:t>https://www.tse.jus.br/partidos/contas-partidarias/fundo-partidario-</w:t>
        </w:r>
        <w:r w:rsidRPr="00BB1499">
          <w:rPr>
            <w:rStyle w:val="Hyperlink"/>
          </w:rPr>
          <w:lastRenderedPageBreak/>
          <w:t>1/arquivos/2023/duodecimo-2023-republicada-em-2024</w:t>
        </w:r>
      </w:hyperlink>
      <w:r w:rsidRPr="00BB1499">
        <w:t>. Acesso em: 21 maio 2026.</w:t>
      </w:r>
    </w:p>
    <w:p w14:paraId="140E3B90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dezembro de 2024</w:t>
      </w:r>
      <w:r w:rsidRPr="00BB1499">
        <w:t xml:space="preserve">. Brasília, DF: TSE, 2024. Disponível em: </w:t>
      </w:r>
      <w:hyperlink r:id="rId42" w:history="1">
        <w:r w:rsidRPr="00BB1499">
          <w:rPr>
            <w:rStyle w:val="Hyperlink"/>
          </w:rPr>
          <w:t>https://www.tse.jus.br/partidos/contas-partidarias/fundo-partidario-1/arquivos/duodecimo-dezembro-2024-1</w:t>
        </w:r>
      </w:hyperlink>
      <w:r w:rsidRPr="00BB1499">
        <w:t>. Acesso em: 21 maio 2026.</w:t>
      </w:r>
    </w:p>
    <w:p w14:paraId="010FCA6D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dezembro de 2025</w:t>
      </w:r>
      <w:r w:rsidRPr="00BB1499">
        <w:t xml:space="preserve">. Brasília, DF: TSE, 2025. Disponível em: </w:t>
      </w:r>
      <w:hyperlink r:id="rId43" w:history="1">
        <w:r w:rsidRPr="00BB1499">
          <w:rPr>
            <w:rStyle w:val="Hyperlink"/>
          </w:rPr>
          <w:t>https://www.tse.jus.br/partidos/contas-partidarias/fundo-partidario-1/arquivos/2025/duodecimo-dezembro-2025</w:t>
        </w:r>
      </w:hyperlink>
      <w:r w:rsidRPr="00BB1499">
        <w:t>. Acesso em: 21 maio 2026.</w:t>
      </w:r>
    </w:p>
    <w:p w14:paraId="10C5370C" w14:textId="5DFF604D" w:rsidR="00CE4313" w:rsidRDefault="00CE4313" w:rsidP="00CE4313">
      <w:pPr>
        <w:pStyle w:val="CORPOPADRO"/>
      </w:pPr>
    </w:p>
    <w:p w14:paraId="10C5370D" w14:textId="77777777" w:rsidR="00CE4313" w:rsidRDefault="00CE4313" w:rsidP="00CE4313">
      <w:pPr>
        <w:pStyle w:val="FECHOlocaledata"/>
      </w:pPr>
      <w:r>
        <w:t xml:space="preserve">Consultoria Legislativa, em </w:t>
      </w:r>
      <w:r w:rsidRPr="00E11972">
        <w:t>22</w:t>
      </w:r>
      <w:r>
        <w:t xml:space="preserve"> de </w:t>
      </w:r>
      <w:r w:rsidRPr="00E11972">
        <w:t>maio</w:t>
      </w:r>
      <w:r>
        <w:t xml:space="preserve"> de </w:t>
      </w:r>
      <w:r w:rsidRPr="00E11972">
        <w:t>2026</w:t>
      </w:r>
      <w:r>
        <w:t>.</w:t>
      </w:r>
    </w:p>
    <w:p w14:paraId="10C5370E" w14:textId="3A88FC43" w:rsidR="00CE4313" w:rsidRPr="00A736F2" w:rsidRDefault="00CE4313" w:rsidP="00CE4313">
      <w:pPr>
        <w:pStyle w:val="ASSINATURA"/>
        <w:rPr>
          <w:caps/>
        </w:rPr>
      </w:pPr>
      <w:r>
        <w:rPr>
          <w:caps/>
        </w:rPr>
        <w:t>Luís Jivago de Assis</w:t>
      </w:r>
    </w:p>
    <w:p w14:paraId="10C5370F" w14:textId="3DD3CF86" w:rsidR="00CE4313" w:rsidRDefault="00CE4313" w:rsidP="00CE4313">
      <w:pPr>
        <w:pStyle w:val="ASSINATURA"/>
      </w:pPr>
      <w:r w:rsidRPr="00141F56">
        <w:t>Consultor Legislativo</w:t>
      </w:r>
    </w:p>
    <w:p w14:paraId="2D795632" w14:textId="77777777" w:rsidR="00062CCD" w:rsidRDefault="00062CCD" w:rsidP="00062CCD"/>
    <w:p w14:paraId="363B151A" w14:textId="77777777" w:rsidR="00062CCD" w:rsidRDefault="00062CCD" w:rsidP="00062CCD"/>
    <w:p w14:paraId="0F3AD1D2" w14:textId="77777777" w:rsidR="00062CCD" w:rsidRPr="00A736F2" w:rsidRDefault="00062CCD" w:rsidP="00062CCD">
      <w:pPr>
        <w:pStyle w:val="ASSINATURA"/>
        <w:rPr>
          <w:caps/>
        </w:rPr>
      </w:pPr>
      <w:r>
        <w:rPr>
          <w:caps/>
        </w:rPr>
        <w:t>Maurício Chiaramonte</w:t>
      </w:r>
    </w:p>
    <w:p w14:paraId="698E32AC" w14:textId="102A322E" w:rsidR="00062CCD" w:rsidRPr="00062CCD" w:rsidRDefault="00062CCD" w:rsidP="00062CCD">
      <w:pPr>
        <w:pStyle w:val="ASSINATURA"/>
      </w:pPr>
      <w:r w:rsidRPr="00141F56">
        <w:t>Consultor Legislativo</w:t>
      </w:r>
    </w:p>
    <w:p w14:paraId="10C53710" w14:textId="77777777" w:rsidR="00CE4313" w:rsidRDefault="00CE4313" w:rsidP="00CE4313"/>
    <w:p w14:paraId="472CFE92" w14:textId="77777777" w:rsidR="00062CCD" w:rsidRDefault="00062CCD" w:rsidP="00CE4313">
      <w:pPr>
        <w:pStyle w:val="NDOTRABALHOSISCONLE"/>
      </w:pPr>
    </w:p>
    <w:p w14:paraId="391696DC" w14:textId="77777777" w:rsidR="00062CCD" w:rsidRDefault="00062CCD" w:rsidP="00CE4313">
      <w:pPr>
        <w:pStyle w:val="NDOTRABALHOSISCONLE"/>
      </w:pPr>
    </w:p>
    <w:p w14:paraId="323A72E8" w14:textId="77777777" w:rsidR="00062CCD" w:rsidRDefault="00062CCD" w:rsidP="00CE4313">
      <w:pPr>
        <w:pStyle w:val="NDOTRABALHOSISCONLE"/>
      </w:pPr>
    </w:p>
    <w:p w14:paraId="31E7D309" w14:textId="77777777" w:rsidR="00062CCD" w:rsidRDefault="00062CCD" w:rsidP="00CE4313">
      <w:pPr>
        <w:pStyle w:val="NDOTRABALHOSISCONLE"/>
      </w:pPr>
    </w:p>
    <w:p w14:paraId="4E326EDC" w14:textId="77777777" w:rsidR="00062CCD" w:rsidRDefault="00062CCD" w:rsidP="00CE4313">
      <w:pPr>
        <w:pStyle w:val="NDOTRABALHOSISCONLE"/>
      </w:pPr>
    </w:p>
    <w:p w14:paraId="7BB74918" w14:textId="77777777" w:rsidR="00062CCD" w:rsidRDefault="00062CCD" w:rsidP="00CE4313">
      <w:pPr>
        <w:pStyle w:val="NDOTRABALHOSISCONLE"/>
      </w:pPr>
    </w:p>
    <w:p w14:paraId="4FBD4DB1" w14:textId="77777777" w:rsidR="00062CCD" w:rsidRDefault="00062CCD" w:rsidP="00CE4313">
      <w:pPr>
        <w:pStyle w:val="NDOTRABALHOSISCONLE"/>
      </w:pPr>
    </w:p>
    <w:p w14:paraId="1FE139D9" w14:textId="77777777" w:rsidR="00062CCD" w:rsidRDefault="00062CCD" w:rsidP="00CE4313">
      <w:pPr>
        <w:pStyle w:val="NDOTRABALHOSISCONLE"/>
      </w:pPr>
    </w:p>
    <w:p w14:paraId="0AC2F335" w14:textId="77777777" w:rsidR="00062CCD" w:rsidRDefault="00062CCD" w:rsidP="00CE4313">
      <w:pPr>
        <w:pStyle w:val="NDOTRABALHOSISCONLE"/>
      </w:pPr>
    </w:p>
    <w:p w14:paraId="2D646E88" w14:textId="77777777" w:rsidR="00062CCD" w:rsidRDefault="00062CCD" w:rsidP="00CE4313">
      <w:pPr>
        <w:pStyle w:val="NDOTRABALHOSISCONLE"/>
      </w:pPr>
    </w:p>
    <w:p w14:paraId="3F31D89D" w14:textId="77777777" w:rsidR="00062CCD" w:rsidRDefault="00062CCD" w:rsidP="00CE4313">
      <w:pPr>
        <w:pStyle w:val="NDOTRABALHOSISCONLE"/>
      </w:pPr>
    </w:p>
    <w:p w14:paraId="6D6B8719" w14:textId="77777777" w:rsidR="00062CCD" w:rsidRDefault="00062CCD" w:rsidP="00CE4313">
      <w:pPr>
        <w:pStyle w:val="NDOTRABALHOSISCONLE"/>
      </w:pPr>
    </w:p>
    <w:p w14:paraId="70C4AE18" w14:textId="77777777" w:rsidR="00062CCD" w:rsidRDefault="00062CCD" w:rsidP="00CE4313">
      <w:pPr>
        <w:pStyle w:val="NDOTRABALHOSISCONLE"/>
      </w:pPr>
    </w:p>
    <w:p w14:paraId="10C53711" w14:textId="4457B55F" w:rsidR="005525B3" w:rsidRPr="00CE4313" w:rsidRDefault="00CE4313" w:rsidP="00CE4313">
      <w:pPr>
        <w:pStyle w:val="NDOTRABALHOSISCONLE"/>
      </w:pPr>
      <w:r w:rsidRPr="00A91286">
        <w:t>2026</w:t>
      </w:r>
      <w:r>
        <w:t>-</w:t>
      </w:r>
      <w:r w:rsidRPr="00141F56">
        <w:t>7765</w:t>
      </w:r>
    </w:p>
    <w:sectPr w:rsidR="005525B3" w:rsidRPr="00CE4313" w:rsidSect="00091E76">
      <w:headerReference w:type="default" r:id="rId44"/>
      <w:headerReference w:type="first" r:id="rId45"/>
      <w:pgSz w:w="11906" w:h="16838" w:code="9"/>
      <w:pgMar w:top="1701" w:right="1701" w:bottom="1418" w:left="1701" w:header="794" w:footer="8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4E5A" w14:textId="77777777" w:rsidR="00733F40" w:rsidRDefault="00733F40">
      <w:pPr>
        <w:spacing w:after="0"/>
      </w:pPr>
      <w:r>
        <w:separator/>
      </w:r>
    </w:p>
  </w:endnote>
  <w:endnote w:type="continuationSeparator" w:id="0">
    <w:p w14:paraId="754653E3" w14:textId="77777777" w:rsidR="00733F40" w:rsidRDefault="00733F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8" w14:textId="77777777" w:rsidR="00F241C1" w:rsidRPr="005525B3" w:rsidRDefault="00CE4313" w:rsidP="005525B3">
    <w:pPr>
      <w:pStyle w:val="NOTADERODAP"/>
      <w:ind w:left="0" w:firstLine="0"/>
      <w:rPr>
        <w:rFonts w:cs="Arial"/>
        <w:color w:val="000000" w:themeColor="text1"/>
        <w:sz w:val="16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0" allowOverlap="1" wp14:anchorId="10C53721" wp14:editId="10C53722">
          <wp:simplePos x="0" y="0"/>
          <wp:positionH relativeFrom="page">
            <wp:posOffset>0</wp:posOffset>
          </wp:positionH>
          <wp:positionV relativeFrom="page">
            <wp:posOffset>10167620</wp:posOffset>
          </wp:positionV>
          <wp:extent cx="7560000" cy="381600"/>
          <wp:effectExtent l="0" t="0" r="0" b="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541" b="2891"/>
                  <a:stretch/>
                </pic:blipFill>
                <pic:spPr bwMode="auto">
                  <a:xfrm>
                    <a:off x="0" y="0"/>
                    <a:ext cx="75600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A" w14:textId="77777777" w:rsidR="001B174C" w:rsidRDefault="0051537F" w:rsidP="0051537F">
    <w:pPr>
      <w:spacing w:after="0" w:line="276" w:lineRule="auto"/>
      <w:jc w:val="center"/>
      <w:rPr>
        <w:sz w:val="18"/>
        <w:szCs w:val="19"/>
      </w:rPr>
    </w:pPr>
    <w:r w:rsidRPr="006B173D">
      <w:rPr>
        <w:sz w:val="18"/>
        <w:szCs w:val="19"/>
      </w:rPr>
      <w:t xml:space="preserve">O conteúdo deste trabalho não representa a posição da Consultoria </w:t>
    </w:r>
    <w:r w:rsidR="00E856A5">
      <w:rPr>
        <w:sz w:val="18"/>
        <w:szCs w:val="19"/>
      </w:rPr>
      <w:t>Legislativa</w:t>
    </w:r>
    <w:r w:rsidRPr="006B173D">
      <w:rPr>
        <w:sz w:val="18"/>
        <w:szCs w:val="19"/>
      </w:rPr>
      <w:t>, tampouco da Câmara dos Deputados, sendo de exclusiva responsabilidade de seus autores.</w:t>
    </w:r>
  </w:p>
  <w:p w14:paraId="10C5371B" w14:textId="77777777" w:rsidR="0051537F" w:rsidRPr="0051537F" w:rsidRDefault="0051537F" w:rsidP="0051537F">
    <w:pPr>
      <w:spacing w:line="276" w:lineRule="auto"/>
      <w:jc w:val="center"/>
      <w:rPr>
        <w:sz w:val="18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8CB4" w14:textId="77777777" w:rsidR="00733F40" w:rsidRDefault="00733F40">
      <w:pPr>
        <w:spacing w:after="0"/>
      </w:pPr>
      <w:r>
        <w:separator/>
      </w:r>
    </w:p>
  </w:footnote>
  <w:footnote w:type="continuationSeparator" w:id="0">
    <w:p w14:paraId="3A1A32CB" w14:textId="77777777" w:rsidR="00733F40" w:rsidRDefault="00733F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6" w14:textId="77777777" w:rsidR="009972A3" w:rsidRDefault="00000000">
    <w:pPr>
      <w:pStyle w:val="Cabealho"/>
    </w:pPr>
    <w:r>
      <w:rPr>
        <w:noProof/>
        <w:lang w:eastAsia="pt-BR"/>
      </w:rPr>
      <w:pict w14:anchorId="10C537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835438" o:spid="_x0000_s1044" type="#_x0000_t75" style="position:absolute;left:0;text-align:left;margin-left:0;margin-top:0;width:615.05pt;height:870.4pt;z-index:-251656192;mso-position-horizontal:center;mso-position-horizontal-relative:margin;mso-position-vertical:center;mso-position-vertical-relative:margin" o:allowincell="f">
          <v:imagedata r:id="rId1" o:title="Marca d'água 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7" w14:textId="77777777" w:rsidR="006A7A82" w:rsidRDefault="006A7A8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5168" behindDoc="1" locked="0" layoutInCell="0" allowOverlap="1" wp14:anchorId="10C5371F" wp14:editId="10C5372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7770" cy="333375"/>
          <wp:effectExtent l="0" t="0" r="5080" b="9525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882"/>
                  <a:stretch/>
                </pic:blipFill>
                <pic:spPr bwMode="auto">
                  <a:xfrm>
                    <a:off x="0" y="0"/>
                    <a:ext cx="755777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9" w14:textId="77777777" w:rsidR="009972A3" w:rsidRDefault="00CE4313">
    <w:pPr>
      <w:pStyle w:val="Cabealho"/>
    </w:pPr>
    <w:r w:rsidRPr="00235D13">
      <w:rPr>
        <w:noProof/>
        <w:lang w:eastAsia="pt-BR"/>
      </w:rPr>
      <w:drawing>
        <wp:anchor distT="0" distB="0" distL="114300" distR="114300" simplePos="0" relativeHeight="251657216" behindDoc="1" locked="0" layoutInCell="0" allowOverlap="1" wp14:anchorId="10C53723" wp14:editId="10C53724">
          <wp:simplePos x="0" y="0"/>
          <wp:positionH relativeFrom="page">
            <wp:posOffset>0</wp:posOffset>
          </wp:positionH>
          <wp:positionV relativeFrom="page">
            <wp:align>top</wp:align>
          </wp:positionV>
          <wp:extent cx="7556400" cy="10692000"/>
          <wp:effectExtent l="0" t="0" r="6985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64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597705"/>
      <w:docPartObj>
        <w:docPartGallery w:val="Page Numbers (Top of Page)"/>
        <w:docPartUnique/>
      </w:docPartObj>
    </w:sdtPr>
    <w:sdtEndPr>
      <w:rPr>
        <w:rFonts w:cs="Arial"/>
        <w:sz w:val="20"/>
      </w:rPr>
    </w:sdtEndPr>
    <w:sdtContent>
      <w:p w14:paraId="10C5371C" w14:textId="77777777" w:rsidR="00000000" w:rsidRPr="001D75D5" w:rsidRDefault="00CE4313">
        <w:pPr>
          <w:pStyle w:val="Cabealho"/>
          <w:jc w:val="right"/>
          <w:rPr>
            <w:rFonts w:cs="Arial"/>
            <w:sz w:val="20"/>
          </w:rPr>
        </w:pPr>
        <w:r>
          <w:rPr>
            <w:noProof/>
            <w:lang w:eastAsia="pt-BR"/>
          </w:rPr>
          <w:drawing>
            <wp:anchor distT="0" distB="0" distL="114300" distR="114300" simplePos="0" relativeHeight="251658240" behindDoc="1" locked="0" layoutInCell="0" allowOverlap="1" wp14:anchorId="10C53725" wp14:editId="10C53726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56400" cy="342000"/>
              <wp:effectExtent l="0" t="0" r="0" b="127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Conle Superior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96793"/>
                      <a:stretch/>
                    </pic:blipFill>
                    <pic:spPr bwMode="auto">
                      <a:xfrm>
                        <a:off x="0" y="0"/>
                        <a:ext cx="7556400" cy="34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525B3" w:rsidRPr="001D75D5">
          <w:rPr>
            <w:rFonts w:cs="Arial"/>
            <w:sz w:val="20"/>
          </w:rPr>
          <w:fldChar w:fldCharType="begin"/>
        </w:r>
        <w:r w:rsidR="005525B3" w:rsidRPr="001D75D5">
          <w:rPr>
            <w:rFonts w:cs="Arial"/>
            <w:sz w:val="20"/>
          </w:rPr>
          <w:instrText>PAGE   \* MERGEFORMAT</w:instrText>
        </w:r>
        <w:r w:rsidR="005525B3" w:rsidRPr="001D75D5">
          <w:rPr>
            <w:rFonts w:cs="Arial"/>
            <w:sz w:val="20"/>
          </w:rPr>
          <w:fldChar w:fldCharType="separate"/>
        </w:r>
        <w:r w:rsidR="00C50254">
          <w:rPr>
            <w:rFonts w:cs="Arial"/>
            <w:noProof/>
            <w:sz w:val="20"/>
          </w:rPr>
          <w:t>2</w:t>
        </w:r>
        <w:r w:rsidR="005525B3" w:rsidRPr="001D75D5">
          <w:rPr>
            <w:rFonts w:cs="Arial"/>
            <w:sz w:val="20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D" w14:textId="77777777" w:rsidR="00000000" w:rsidRDefault="005525B3">
    <w:r>
      <w:rPr>
        <w:noProof/>
        <w:lang w:eastAsia="pt-BR"/>
      </w:rPr>
      <w:drawing>
        <wp:anchor distT="0" distB="0" distL="114300" distR="114300" simplePos="0" relativeHeight="251656192" behindDoc="0" locked="0" layoutInCell="1" allowOverlap="1" wp14:anchorId="10C53727" wp14:editId="10C53728">
          <wp:simplePos x="0" y="0"/>
          <wp:positionH relativeFrom="margin">
            <wp:align>center</wp:align>
          </wp:positionH>
          <wp:positionV relativeFrom="paragraph">
            <wp:posOffset>-86360</wp:posOffset>
          </wp:positionV>
          <wp:extent cx="2034000" cy="385200"/>
          <wp:effectExtent l="0" t="0" r="4445" b="0"/>
          <wp:wrapSquare wrapText="bothSides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Consultoria Legislativa - Horizont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4000" cy="38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3FA"/>
    <w:multiLevelType w:val="hybridMultilevel"/>
    <w:tmpl w:val="25D01882"/>
    <w:lvl w:ilvl="0" w:tplc="F9908D9C">
      <w:start w:val="1"/>
      <w:numFmt w:val="decimal"/>
      <w:pStyle w:val="Ttulo5"/>
      <w:lvlText w:val="%1.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" w15:restartNumberingAfterBreak="0">
    <w:nsid w:val="1DF60B99"/>
    <w:multiLevelType w:val="hybridMultilevel"/>
    <w:tmpl w:val="20385756"/>
    <w:lvl w:ilvl="0" w:tplc="FE62B8FA">
      <w:start w:val="1"/>
      <w:numFmt w:val="bullet"/>
      <w:pStyle w:val="ENUMERAO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45E94EF3"/>
    <w:multiLevelType w:val="hybridMultilevel"/>
    <w:tmpl w:val="F766C420"/>
    <w:lvl w:ilvl="0" w:tplc="4FEED994">
      <w:start w:val="1"/>
      <w:numFmt w:val="lowerLetter"/>
      <w:pStyle w:val="Ttulo4"/>
      <w:lvlText w:val="%1)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" w15:restartNumberingAfterBreak="0">
    <w:nsid w:val="4AB53BCC"/>
    <w:multiLevelType w:val="hybridMultilevel"/>
    <w:tmpl w:val="DCA89768"/>
    <w:lvl w:ilvl="0" w:tplc="F3B8628A">
      <w:start w:val="1"/>
      <w:numFmt w:val="decimal"/>
      <w:pStyle w:val="TabelaaTtulo"/>
      <w:lvlText w:val="Tabela %1 ─"/>
      <w:lvlJc w:val="center"/>
      <w:pPr>
        <w:tabs>
          <w:tab w:val="num" w:pos="108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69366C"/>
    <w:multiLevelType w:val="multilevel"/>
    <w:tmpl w:val="4E50CE18"/>
    <w:lvl w:ilvl="0">
      <w:start w:val="1"/>
      <w:numFmt w:val="decimal"/>
      <w:pStyle w:val="Ttulo1"/>
      <w:suff w:val="nothing"/>
      <w:lvlText w:val="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§ %2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Ttulo3"/>
      <w:suff w:val="space"/>
      <w:lvlText w:val="%3 -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363083B"/>
    <w:multiLevelType w:val="hybridMultilevel"/>
    <w:tmpl w:val="F5AC53CE"/>
    <w:lvl w:ilvl="0" w:tplc="87AC48A0">
      <w:start w:val="1"/>
      <w:numFmt w:val="decimal"/>
      <w:lvlText w:val="%1."/>
      <w:lvlJc w:val="left"/>
      <w:pPr>
        <w:ind w:left="1120" w:hanging="269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100"/>
        <w:sz w:val="24"/>
        <w:szCs w:val="24"/>
        <w:lang w:val="pt-PT" w:eastAsia="en-US" w:bidi="ar-SA"/>
      </w:rPr>
    </w:lvl>
    <w:lvl w:ilvl="1" w:tplc="B9462D18">
      <w:numFmt w:val="bullet"/>
      <w:lvlText w:val="•"/>
      <w:lvlJc w:val="left"/>
      <w:pPr>
        <w:ind w:left="1189" w:hanging="269"/>
      </w:pPr>
      <w:rPr>
        <w:rFonts w:hint="default"/>
        <w:lang w:val="pt-PT" w:eastAsia="en-US" w:bidi="ar-SA"/>
      </w:rPr>
    </w:lvl>
    <w:lvl w:ilvl="2" w:tplc="3B8269FA">
      <w:numFmt w:val="bullet"/>
      <w:lvlText w:val="•"/>
      <w:lvlJc w:val="left"/>
      <w:pPr>
        <w:ind w:left="1267" w:hanging="269"/>
      </w:pPr>
      <w:rPr>
        <w:rFonts w:hint="default"/>
        <w:lang w:val="pt-PT" w:eastAsia="en-US" w:bidi="ar-SA"/>
      </w:rPr>
    </w:lvl>
    <w:lvl w:ilvl="3" w:tplc="077688F2">
      <w:numFmt w:val="bullet"/>
      <w:lvlText w:val="•"/>
      <w:lvlJc w:val="left"/>
      <w:pPr>
        <w:ind w:left="1345" w:hanging="269"/>
      </w:pPr>
      <w:rPr>
        <w:rFonts w:hint="default"/>
        <w:lang w:val="pt-PT" w:eastAsia="en-US" w:bidi="ar-SA"/>
      </w:rPr>
    </w:lvl>
    <w:lvl w:ilvl="4" w:tplc="1FC66596">
      <w:numFmt w:val="bullet"/>
      <w:lvlText w:val="•"/>
      <w:lvlJc w:val="left"/>
      <w:pPr>
        <w:ind w:left="1422" w:hanging="269"/>
      </w:pPr>
      <w:rPr>
        <w:rFonts w:hint="default"/>
        <w:lang w:val="pt-PT" w:eastAsia="en-US" w:bidi="ar-SA"/>
      </w:rPr>
    </w:lvl>
    <w:lvl w:ilvl="5" w:tplc="A7FC181C">
      <w:numFmt w:val="bullet"/>
      <w:lvlText w:val="•"/>
      <w:lvlJc w:val="left"/>
      <w:pPr>
        <w:ind w:left="1500" w:hanging="269"/>
      </w:pPr>
      <w:rPr>
        <w:rFonts w:hint="default"/>
        <w:lang w:val="pt-PT" w:eastAsia="en-US" w:bidi="ar-SA"/>
      </w:rPr>
    </w:lvl>
    <w:lvl w:ilvl="6" w:tplc="371C9BFC">
      <w:numFmt w:val="bullet"/>
      <w:lvlText w:val="•"/>
      <w:lvlJc w:val="left"/>
      <w:pPr>
        <w:ind w:left="1578" w:hanging="269"/>
      </w:pPr>
      <w:rPr>
        <w:rFonts w:hint="default"/>
        <w:lang w:val="pt-PT" w:eastAsia="en-US" w:bidi="ar-SA"/>
      </w:rPr>
    </w:lvl>
    <w:lvl w:ilvl="7" w:tplc="BBEE1430">
      <w:numFmt w:val="bullet"/>
      <w:lvlText w:val="•"/>
      <w:lvlJc w:val="left"/>
      <w:pPr>
        <w:ind w:left="1656" w:hanging="269"/>
      </w:pPr>
      <w:rPr>
        <w:rFonts w:hint="default"/>
        <w:lang w:val="pt-PT" w:eastAsia="en-US" w:bidi="ar-SA"/>
      </w:rPr>
    </w:lvl>
    <w:lvl w:ilvl="8" w:tplc="C12EB32C">
      <w:numFmt w:val="bullet"/>
      <w:lvlText w:val="•"/>
      <w:lvlJc w:val="left"/>
      <w:pPr>
        <w:ind w:left="1733" w:hanging="269"/>
      </w:pPr>
      <w:rPr>
        <w:rFonts w:hint="default"/>
        <w:lang w:val="pt-PT" w:eastAsia="en-US" w:bidi="ar-SA"/>
      </w:rPr>
    </w:lvl>
  </w:abstractNum>
  <w:abstractNum w:abstractNumId="6" w15:restartNumberingAfterBreak="0">
    <w:nsid w:val="6BAA1515"/>
    <w:multiLevelType w:val="hybridMultilevel"/>
    <w:tmpl w:val="0F489030"/>
    <w:lvl w:ilvl="0" w:tplc="347ABA88">
      <w:start w:val="1"/>
      <w:numFmt w:val="decimal"/>
      <w:lvlText w:val="%1."/>
      <w:lvlJc w:val="left"/>
      <w:pPr>
        <w:ind w:left="4415" w:hanging="303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F8D46"/>
        <w:spacing w:val="-2"/>
        <w:w w:val="100"/>
        <w:sz w:val="24"/>
        <w:szCs w:val="24"/>
        <w:lang w:val="pt-PT" w:eastAsia="en-US" w:bidi="ar-SA"/>
      </w:rPr>
    </w:lvl>
    <w:lvl w:ilvl="1" w:tplc="99A0208E">
      <w:numFmt w:val="bullet"/>
      <w:lvlText w:val="•"/>
      <w:lvlJc w:val="left"/>
      <w:pPr>
        <w:ind w:left="5305" w:hanging="303"/>
      </w:pPr>
      <w:rPr>
        <w:rFonts w:hint="default"/>
        <w:lang w:val="pt-PT" w:eastAsia="en-US" w:bidi="ar-SA"/>
      </w:rPr>
    </w:lvl>
    <w:lvl w:ilvl="2" w:tplc="5B0675E8">
      <w:numFmt w:val="bullet"/>
      <w:lvlText w:val="•"/>
      <w:lvlJc w:val="left"/>
      <w:pPr>
        <w:ind w:left="6197" w:hanging="303"/>
      </w:pPr>
      <w:rPr>
        <w:rFonts w:hint="default"/>
        <w:lang w:val="pt-PT" w:eastAsia="en-US" w:bidi="ar-SA"/>
      </w:rPr>
    </w:lvl>
    <w:lvl w:ilvl="3" w:tplc="C006617E">
      <w:numFmt w:val="bullet"/>
      <w:lvlText w:val="•"/>
      <w:lvlJc w:val="left"/>
      <w:pPr>
        <w:ind w:left="7090" w:hanging="303"/>
      </w:pPr>
      <w:rPr>
        <w:rFonts w:hint="default"/>
        <w:lang w:val="pt-PT" w:eastAsia="en-US" w:bidi="ar-SA"/>
      </w:rPr>
    </w:lvl>
    <w:lvl w:ilvl="4" w:tplc="7CDECB2E">
      <w:numFmt w:val="bullet"/>
      <w:lvlText w:val="•"/>
      <w:lvlJc w:val="left"/>
      <w:pPr>
        <w:ind w:left="7982" w:hanging="303"/>
      </w:pPr>
      <w:rPr>
        <w:rFonts w:hint="default"/>
        <w:lang w:val="pt-PT" w:eastAsia="en-US" w:bidi="ar-SA"/>
      </w:rPr>
    </w:lvl>
    <w:lvl w:ilvl="5" w:tplc="22F461E8">
      <w:numFmt w:val="bullet"/>
      <w:lvlText w:val="•"/>
      <w:lvlJc w:val="left"/>
      <w:pPr>
        <w:ind w:left="8875" w:hanging="303"/>
      </w:pPr>
      <w:rPr>
        <w:rFonts w:hint="default"/>
        <w:lang w:val="pt-PT" w:eastAsia="en-US" w:bidi="ar-SA"/>
      </w:rPr>
    </w:lvl>
    <w:lvl w:ilvl="6" w:tplc="A126CB0E">
      <w:numFmt w:val="bullet"/>
      <w:lvlText w:val="•"/>
      <w:lvlJc w:val="left"/>
      <w:pPr>
        <w:ind w:left="9767" w:hanging="303"/>
      </w:pPr>
      <w:rPr>
        <w:rFonts w:hint="default"/>
        <w:lang w:val="pt-PT" w:eastAsia="en-US" w:bidi="ar-SA"/>
      </w:rPr>
    </w:lvl>
    <w:lvl w:ilvl="7" w:tplc="845AEEF8">
      <w:numFmt w:val="bullet"/>
      <w:lvlText w:val="•"/>
      <w:lvlJc w:val="left"/>
      <w:pPr>
        <w:ind w:left="10659" w:hanging="303"/>
      </w:pPr>
      <w:rPr>
        <w:rFonts w:hint="default"/>
        <w:lang w:val="pt-PT" w:eastAsia="en-US" w:bidi="ar-SA"/>
      </w:rPr>
    </w:lvl>
    <w:lvl w:ilvl="8" w:tplc="610ECEE0">
      <w:numFmt w:val="bullet"/>
      <w:lvlText w:val="•"/>
      <w:lvlJc w:val="left"/>
      <w:pPr>
        <w:ind w:left="11552" w:hanging="303"/>
      </w:pPr>
      <w:rPr>
        <w:rFonts w:hint="default"/>
        <w:lang w:val="pt-PT" w:eastAsia="en-US" w:bidi="ar-SA"/>
      </w:rPr>
    </w:lvl>
  </w:abstractNum>
  <w:num w:numId="1" w16cid:durableId="1217156143">
    <w:abstractNumId w:val="6"/>
  </w:num>
  <w:num w:numId="2" w16cid:durableId="346904013">
    <w:abstractNumId w:val="5"/>
  </w:num>
  <w:num w:numId="3" w16cid:durableId="1075933656">
    <w:abstractNumId w:val="1"/>
  </w:num>
  <w:num w:numId="4" w16cid:durableId="706174684">
    <w:abstractNumId w:val="3"/>
  </w:num>
  <w:num w:numId="5" w16cid:durableId="1627735813">
    <w:abstractNumId w:val="4"/>
  </w:num>
  <w:num w:numId="6" w16cid:durableId="1774393936">
    <w:abstractNumId w:val="4"/>
  </w:num>
  <w:num w:numId="7" w16cid:durableId="1157764405">
    <w:abstractNumId w:val="4"/>
  </w:num>
  <w:num w:numId="8" w16cid:durableId="1847401143">
    <w:abstractNumId w:val="2"/>
  </w:num>
  <w:num w:numId="9" w16cid:durableId="952635389">
    <w:abstractNumId w:val="0"/>
  </w:num>
  <w:num w:numId="10" w16cid:durableId="67962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438"/>
    <w:rsid w:val="000041FB"/>
    <w:rsid w:val="000366EC"/>
    <w:rsid w:val="00053622"/>
    <w:rsid w:val="00062CCD"/>
    <w:rsid w:val="000A34CF"/>
    <w:rsid w:val="000A5490"/>
    <w:rsid w:val="000A5BDF"/>
    <w:rsid w:val="000C1182"/>
    <w:rsid w:val="000E582C"/>
    <w:rsid w:val="0010216B"/>
    <w:rsid w:val="00103A75"/>
    <w:rsid w:val="00105C5F"/>
    <w:rsid w:val="001616E8"/>
    <w:rsid w:val="00166FAA"/>
    <w:rsid w:val="0017479B"/>
    <w:rsid w:val="001B174C"/>
    <w:rsid w:val="001F65A2"/>
    <w:rsid w:val="00204438"/>
    <w:rsid w:val="00230F32"/>
    <w:rsid w:val="00234606"/>
    <w:rsid w:val="00237E05"/>
    <w:rsid w:val="002709F0"/>
    <w:rsid w:val="00280061"/>
    <w:rsid w:val="002A2505"/>
    <w:rsid w:val="002F2B58"/>
    <w:rsid w:val="00343EAA"/>
    <w:rsid w:val="00352617"/>
    <w:rsid w:val="00361962"/>
    <w:rsid w:val="00373630"/>
    <w:rsid w:val="003951CE"/>
    <w:rsid w:val="003B1570"/>
    <w:rsid w:val="003B6480"/>
    <w:rsid w:val="003D0E1D"/>
    <w:rsid w:val="003D575E"/>
    <w:rsid w:val="003D6D67"/>
    <w:rsid w:val="0045030A"/>
    <w:rsid w:val="004E2717"/>
    <w:rsid w:val="0051537F"/>
    <w:rsid w:val="00520B2A"/>
    <w:rsid w:val="00523E60"/>
    <w:rsid w:val="00552094"/>
    <w:rsid w:val="005525B3"/>
    <w:rsid w:val="005B2498"/>
    <w:rsid w:val="005F039D"/>
    <w:rsid w:val="005F437A"/>
    <w:rsid w:val="00620754"/>
    <w:rsid w:val="00645872"/>
    <w:rsid w:val="00653E79"/>
    <w:rsid w:val="00655E5C"/>
    <w:rsid w:val="00671D8E"/>
    <w:rsid w:val="00675EAD"/>
    <w:rsid w:val="00692096"/>
    <w:rsid w:val="006A7A82"/>
    <w:rsid w:val="00700633"/>
    <w:rsid w:val="00733F40"/>
    <w:rsid w:val="00742765"/>
    <w:rsid w:val="00761F6B"/>
    <w:rsid w:val="00774BC6"/>
    <w:rsid w:val="00780762"/>
    <w:rsid w:val="00787106"/>
    <w:rsid w:val="0079390D"/>
    <w:rsid w:val="007A072A"/>
    <w:rsid w:val="007B4D2F"/>
    <w:rsid w:val="007C476A"/>
    <w:rsid w:val="007E0A85"/>
    <w:rsid w:val="007F5E31"/>
    <w:rsid w:val="0080547C"/>
    <w:rsid w:val="008242DF"/>
    <w:rsid w:val="00836550"/>
    <w:rsid w:val="00843105"/>
    <w:rsid w:val="0087684E"/>
    <w:rsid w:val="008776A1"/>
    <w:rsid w:val="008A3A49"/>
    <w:rsid w:val="008B3DFA"/>
    <w:rsid w:val="008C4693"/>
    <w:rsid w:val="008C7625"/>
    <w:rsid w:val="008F230A"/>
    <w:rsid w:val="008F4279"/>
    <w:rsid w:val="00917D11"/>
    <w:rsid w:val="0092505E"/>
    <w:rsid w:val="0096239A"/>
    <w:rsid w:val="00967D62"/>
    <w:rsid w:val="009972A3"/>
    <w:rsid w:val="009B149C"/>
    <w:rsid w:val="00A21213"/>
    <w:rsid w:val="00A318ED"/>
    <w:rsid w:val="00A3521F"/>
    <w:rsid w:val="00A65A0E"/>
    <w:rsid w:val="00A65B4C"/>
    <w:rsid w:val="00A7561B"/>
    <w:rsid w:val="00A914A4"/>
    <w:rsid w:val="00AD2D43"/>
    <w:rsid w:val="00AD305A"/>
    <w:rsid w:val="00AE2048"/>
    <w:rsid w:val="00B224D1"/>
    <w:rsid w:val="00B27032"/>
    <w:rsid w:val="00B36EEB"/>
    <w:rsid w:val="00B45F5A"/>
    <w:rsid w:val="00B47710"/>
    <w:rsid w:val="00B944BE"/>
    <w:rsid w:val="00BA7EF1"/>
    <w:rsid w:val="00BB1499"/>
    <w:rsid w:val="00BC09ED"/>
    <w:rsid w:val="00BC0B40"/>
    <w:rsid w:val="00C03B09"/>
    <w:rsid w:val="00C50254"/>
    <w:rsid w:val="00C66EAF"/>
    <w:rsid w:val="00C73B69"/>
    <w:rsid w:val="00C77C2A"/>
    <w:rsid w:val="00C86B89"/>
    <w:rsid w:val="00CD4FAE"/>
    <w:rsid w:val="00CE3FD8"/>
    <w:rsid w:val="00CE4313"/>
    <w:rsid w:val="00CE67B9"/>
    <w:rsid w:val="00CF1E2E"/>
    <w:rsid w:val="00CF3434"/>
    <w:rsid w:val="00CF62C4"/>
    <w:rsid w:val="00D1718E"/>
    <w:rsid w:val="00D76256"/>
    <w:rsid w:val="00D907B8"/>
    <w:rsid w:val="00DD6057"/>
    <w:rsid w:val="00DE5570"/>
    <w:rsid w:val="00E14E13"/>
    <w:rsid w:val="00E27352"/>
    <w:rsid w:val="00E477D7"/>
    <w:rsid w:val="00E52DF9"/>
    <w:rsid w:val="00E80B95"/>
    <w:rsid w:val="00E856A5"/>
    <w:rsid w:val="00EA3A2C"/>
    <w:rsid w:val="00F241C1"/>
    <w:rsid w:val="00F2694C"/>
    <w:rsid w:val="00F40304"/>
    <w:rsid w:val="00F5677D"/>
    <w:rsid w:val="00F87288"/>
    <w:rsid w:val="00F96613"/>
    <w:rsid w:val="00FA30F0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0C536EF"/>
  <w15:docId w15:val="{8F805A37-6458-409B-9205-A4A97C20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6" w:unhideWhenUsed="1" w:qFormat="1"/>
    <w:lsdException w:name="heading 5" w:semiHidden="1" w:uiPriority="17" w:unhideWhenUsed="1" w:qFormat="1"/>
    <w:lsdException w:name="heading 6" w:semiHidden="1" w:uiPriority="18" w:unhideWhenUsed="1" w:qFormat="1"/>
    <w:lsdException w:name="heading 7" w:semiHidden="1" w:uiPriority="19" w:unhideWhenUsed="1" w:qFormat="1"/>
    <w:lsdException w:name="heading 8" w:semiHidden="1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62CCD"/>
    <w:pPr>
      <w:spacing w:after="12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Ttulo1">
    <w:name w:val="heading 1"/>
    <w:aliases w:val="Artigo"/>
    <w:basedOn w:val="Normal"/>
    <w:link w:val="Ttulo1Char"/>
    <w:uiPriority w:val="13"/>
    <w:semiHidden/>
    <w:qFormat/>
    <w:rsid w:val="00655E5C"/>
    <w:pPr>
      <w:keepNext/>
      <w:keepLines/>
      <w:numPr>
        <w:numId w:val="7"/>
      </w:numPr>
      <w:spacing w:line="360" w:lineRule="auto"/>
      <w:outlineLvl w:val="0"/>
    </w:pPr>
    <w:rPr>
      <w:rFonts w:eastAsiaTheme="majorEastAsia" w:cstheme="majorBidi"/>
      <w:bCs/>
      <w:snapToGrid w:val="0"/>
      <w:color w:val="000000"/>
      <w:szCs w:val="28"/>
    </w:rPr>
  </w:style>
  <w:style w:type="paragraph" w:styleId="Ttulo2">
    <w:name w:val="heading 2"/>
    <w:aliases w:val="Parágrafo"/>
    <w:basedOn w:val="Normal"/>
    <w:link w:val="Ttulo2Char"/>
    <w:uiPriority w:val="9"/>
    <w:qFormat/>
    <w:rsid w:val="00655E5C"/>
    <w:pPr>
      <w:keepNext/>
      <w:keepLines/>
      <w:numPr>
        <w:ilvl w:val="1"/>
        <w:numId w:val="7"/>
      </w:numPr>
      <w:spacing w:after="0" w:line="360" w:lineRule="auto"/>
      <w:outlineLvl w:val="1"/>
    </w:pPr>
    <w:rPr>
      <w:rFonts w:eastAsiaTheme="majorEastAsia" w:cstheme="majorBidi"/>
      <w:bCs/>
      <w:snapToGrid w:val="0"/>
      <w:color w:val="000000"/>
      <w:szCs w:val="26"/>
    </w:rPr>
  </w:style>
  <w:style w:type="paragraph" w:styleId="Ttulo3">
    <w:name w:val="heading 3"/>
    <w:aliases w:val="Inciso"/>
    <w:basedOn w:val="Normal"/>
    <w:link w:val="Ttulo3Char"/>
    <w:uiPriority w:val="9"/>
    <w:qFormat/>
    <w:rsid w:val="00655E5C"/>
    <w:pPr>
      <w:keepNext/>
      <w:keepLines/>
      <w:numPr>
        <w:ilvl w:val="2"/>
        <w:numId w:val="7"/>
      </w:numPr>
      <w:spacing w:after="0" w:line="360" w:lineRule="auto"/>
      <w:outlineLvl w:val="2"/>
    </w:pPr>
    <w:rPr>
      <w:rFonts w:eastAsiaTheme="majorEastAsia" w:cstheme="majorBidi"/>
      <w:bCs/>
      <w:snapToGrid w:val="0"/>
      <w:color w:val="000000"/>
      <w:szCs w:val="22"/>
    </w:rPr>
  </w:style>
  <w:style w:type="paragraph" w:styleId="Ttulo4">
    <w:name w:val="heading 4"/>
    <w:aliases w:val="Alínea"/>
    <w:basedOn w:val="Normal"/>
    <w:link w:val="Ttulo4Char"/>
    <w:uiPriority w:val="16"/>
    <w:semiHidden/>
    <w:qFormat/>
    <w:rsid w:val="00655E5C"/>
    <w:pPr>
      <w:keepNext/>
      <w:keepLines/>
      <w:numPr>
        <w:numId w:val="8"/>
      </w:numPr>
      <w:spacing w:after="0" w:line="288" w:lineRule="auto"/>
      <w:outlineLvl w:val="3"/>
    </w:pPr>
    <w:rPr>
      <w:rFonts w:eastAsiaTheme="majorEastAsia" w:cstheme="majorBidi"/>
      <w:bCs/>
      <w:iCs/>
      <w:snapToGrid w:val="0"/>
      <w:color w:val="000000"/>
      <w:szCs w:val="22"/>
    </w:rPr>
  </w:style>
  <w:style w:type="paragraph" w:styleId="Ttulo5">
    <w:name w:val="heading 5"/>
    <w:aliases w:val="Item"/>
    <w:basedOn w:val="Normal"/>
    <w:link w:val="Ttulo5Char"/>
    <w:uiPriority w:val="17"/>
    <w:semiHidden/>
    <w:qFormat/>
    <w:rsid w:val="00655E5C"/>
    <w:pPr>
      <w:keepNext/>
      <w:keepLines/>
      <w:numPr>
        <w:numId w:val="9"/>
      </w:numPr>
      <w:spacing w:after="0" w:line="288" w:lineRule="auto"/>
      <w:outlineLvl w:val="4"/>
    </w:pPr>
    <w:rPr>
      <w:rFonts w:eastAsiaTheme="majorEastAsia" w:cstheme="majorBidi"/>
      <w:snapToGrid w:val="0"/>
      <w:color w:val="000000"/>
      <w:szCs w:val="22"/>
    </w:rPr>
  </w:style>
  <w:style w:type="paragraph" w:styleId="Ttulo6">
    <w:name w:val="heading 6"/>
    <w:aliases w:val="Capítulo/Título"/>
    <w:basedOn w:val="Normal"/>
    <w:next w:val="Ttulo7"/>
    <w:link w:val="Ttulo6Char"/>
    <w:uiPriority w:val="18"/>
    <w:semiHidden/>
    <w:qFormat/>
    <w:rsid w:val="00655E5C"/>
    <w:pPr>
      <w:keepNext/>
      <w:keepLines/>
      <w:spacing w:after="0"/>
      <w:jc w:val="center"/>
      <w:outlineLvl w:val="5"/>
    </w:pPr>
    <w:rPr>
      <w:rFonts w:eastAsiaTheme="majorEastAsia" w:cstheme="majorBidi"/>
      <w:caps/>
      <w:snapToGrid w:val="0"/>
    </w:rPr>
  </w:style>
  <w:style w:type="paragraph" w:styleId="Ttulo7">
    <w:name w:val="heading 7"/>
    <w:aliases w:val="Seção/Subseção"/>
    <w:basedOn w:val="Normal"/>
    <w:next w:val="Normal"/>
    <w:link w:val="Ttulo7Char"/>
    <w:uiPriority w:val="19"/>
    <w:semiHidden/>
    <w:qFormat/>
    <w:rsid w:val="00655E5C"/>
    <w:pPr>
      <w:keepNext/>
      <w:keepLines/>
      <w:spacing w:before="120"/>
      <w:contextualSpacing/>
      <w:jc w:val="center"/>
      <w:outlineLvl w:val="6"/>
    </w:pPr>
    <w:rPr>
      <w:rFonts w:eastAsiaTheme="majorEastAsia" w:cstheme="majorBidi"/>
      <w:b/>
      <w:iCs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semiHidden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"/>
    <w:next w:val="Normal"/>
    <w:semiHidden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semiHidden/>
    <w:qFormat/>
    <w:pPr>
      <w:widowControl w:val="0"/>
      <w:autoSpaceDE w:val="0"/>
      <w:autoSpaceDN w:val="0"/>
      <w:spacing w:before="28" w:after="0"/>
      <w:jc w:val="right"/>
    </w:pPr>
    <w:rPr>
      <w:rFonts w:eastAsia="Arial" w:cs="Arial"/>
      <w:lang w:val="pt-PT"/>
    </w:rPr>
  </w:style>
  <w:style w:type="paragraph" w:styleId="PargrafodaLista">
    <w:name w:val="List Paragraph"/>
    <w:basedOn w:val="Normal"/>
    <w:uiPriority w:val="34"/>
    <w:semiHidden/>
    <w:qFormat/>
    <w:rsid w:val="00655E5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rsid w:val="00655E5C"/>
    <w:pPr>
      <w:tabs>
        <w:tab w:val="center" w:pos="4252"/>
        <w:tab w:val="right" w:pos="8504"/>
      </w:tabs>
      <w:spacing w:after="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655E5C"/>
    <w:rPr>
      <w:rFonts w:ascii="Arial" w:eastAsia="Times New Roman" w:hAnsi="Arial" w:cs="Times New Roman"/>
      <w:szCs w:val="24"/>
    </w:rPr>
  </w:style>
  <w:style w:type="paragraph" w:styleId="Rodap">
    <w:name w:val="footer"/>
    <w:basedOn w:val="Normal"/>
    <w:link w:val="RodapChar"/>
    <w:uiPriority w:val="99"/>
    <w:semiHidden/>
    <w:rsid w:val="00655E5C"/>
    <w:pPr>
      <w:tabs>
        <w:tab w:val="center" w:pos="4252"/>
        <w:tab w:val="right" w:pos="8504"/>
      </w:tabs>
      <w:spacing w:after="0"/>
      <w:ind w:left="142" w:hanging="142"/>
    </w:pPr>
  </w:style>
  <w:style w:type="character" w:customStyle="1" w:styleId="RodapChar">
    <w:name w:val="Rodapé Char"/>
    <w:basedOn w:val="Fontepargpadro"/>
    <w:link w:val="Rodap"/>
    <w:uiPriority w:val="99"/>
    <w:semiHidden/>
    <w:rsid w:val="00655E5C"/>
    <w:rPr>
      <w:rFonts w:ascii="Arial" w:eastAsia="Times New Roman" w:hAnsi="Arial" w:cs="Times New Roman"/>
      <w:sz w:val="24"/>
      <w:szCs w:val="24"/>
    </w:rPr>
  </w:style>
  <w:style w:type="paragraph" w:customStyle="1" w:styleId="APENSO">
    <w:name w:val="APENSO"/>
    <w:basedOn w:val="Normal"/>
    <w:next w:val="Normal"/>
    <w:semiHidden/>
    <w:qFormat/>
    <w:rsid w:val="00655E5C"/>
    <w:pPr>
      <w:jc w:val="center"/>
    </w:pPr>
  </w:style>
  <w:style w:type="paragraph" w:customStyle="1" w:styleId="ASSINATURA">
    <w:name w:val="ASSINATURA"/>
    <w:basedOn w:val="Normal"/>
    <w:next w:val="Normal"/>
    <w:qFormat/>
    <w:rsid w:val="00655E5C"/>
    <w:pPr>
      <w:spacing w:after="60"/>
      <w:jc w:val="center"/>
    </w:pPr>
  </w:style>
  <w:style w:type="paragraph" w:customStyle="1" w:styleId="AUTORRELATOREMENTA">
    <w:name w:val="AUTOR/RELATOR EMENTA"/>
    <w:basedOn w:val="Normal"/>
    <w:next w:val="Normal"/>
    <w:semiHidden/>
    <w:qFormat/>
    <w:rsid w:val="00655E5C"/>
    <w:pPr>
      <w:widowControl w:val="0"/>
      <w:ind w:left="4537" w:hanging="851"/>
    </w:pPr>
    <w:rPr>
      <w:b/>
      <w:snapToGrid w:val="0"/>
      <w:color w:val="000000"/>
    </w:rPr>
  </w:style>
  <w:style w:type="paragraph" w:customStyle="1" w:styleId="AUTORIADEPROPOSIO">
    <w:name w:val="AUTORIA DE PROPOSIÇÃO"/>
    <w:basedOn w:val="Normal"/>
    <w:next w:val="Normal"/>
    <w:semiHidden/>
    <w:qFormat/>
    <w:rsid w:val="00655E5C"/>
    <w:pPr>
      <w:jc w:val="center"/>
    </w:pPr>
  </w:style>
  <w:style w:type="paragraph" w:customStyle="1" w:styleId="BIBLIOGRAFIA">
    <w:name w:val="BIBLIOGRAFIA"/>
    <w:basedOn w:val="Normal"/>
    <w:autoRedefine/>
    <w:qFormat/>
    <w:rsid w:val="00655E5C"/>
    <w:pPr>
      <w:jc w:val="left"/>
    </w:pPr>
    <w:rPr>
      <w:color w:val="404040"/>
      <w:szCs w:val="22"/>
    </w:rPr>
  </w:style>
  <w:style w:type="paragraph" w:customStyle="1" w:styleId="CAPAESTUDO-AUTORA">
    <w:name w:val="CAPA ESTUDO - AUTOR(A)"/>
    <w:basedOn w:val="Normal"/>
    <w:semiHidden/>
    <w:qFormat/>
    <w:rsid w:val="00655E5C"/>
    <w:pPr>
      <w:framePr w:hSpace="141" w:wrap="around" w:vAnchor="text" w:hAnchor="margin" w:xAlign="center" w:y="2067"/>
      <w:spacing w:after="60"/>
      <w:ind w:left="2642" w:right="-108"/>
      <w:jc w:val="right"/>
    </w:pPr>
    <w:rPr>
      <w:rFonts w:cs="Arial"/>
      <w:snapToGrid w:val="0"/>
      <w:color w:val="000000"/>
    </w:rPr>
  </w:style>
  <w:style w:type="paragraph" w:customStyle="1" w:styleId="CAPAESTUDO-MSANO">
    <w:name w:val="CAPA ESTUDO - MÊS/ANO"/>
    <w:basedOn w:val="Normal"/>
    <w:semiHidden/>
    <w:qFormat/>
    <w:rsid w:val="00655E5C"/>
    <w:pPr>
      <w:ind w:left="7088" w:right="-710"/>
    </w:pPr>
    <w:rPr>
      <w:b/>
      <w:caps/>
      <w:color w:val="308D46"/>
    </w:rPr>
  </w:style>
  <w:style w:type="paragraph" w:customStyle="1" w:styleId="CAPAESTUDO-TTULO">
    <w:name w:val="CAPA ESTUDO - TÍTULO"/>
    <w:qFormat/>
    <w:rsid w:val="00CE4313"/>
    <w:pPr>
      <w:framePr w:hSpace="141" w:wrap="around" w:vAnchor="text" w:hAnchor="margin" w:xAlign="center" w:y="2067"/>
      <w:tabs>
        <w:tab w:val="left" w:pos="374"/>
      </w:tabs>
      <w:spacing w:before="600" w:after="0" w:line="380" w:lineRule="atLeast"/>
      <w:ind w:left="658"/>
    </w:pPr>
    <w:rPr>
      <w:rFonts w:ascii="Arial Black" w:eastAsia="Times New Roman" w:hAnsi="Arial Black" w:cs="Arial"/>
      <w:b/>
      <w:snapToGrid w:val="0"/>
      <w:color w:val="3E6F30"/>
      <w:sz w:val="40"/>
      <w:szCs w:val="40"/>
      <w:lang w:eastAsia="pt-BR"/>
    </w:rPr>
  </w:style>
  <w:style w:type="paragraph" w:customStyle="1" w:styleId="CAPAFALAPR-MSANO">
    <w:name w:val="CAPA FALA PR - MÊS/ANO"/>
    <w:basedOn w:val="Rodap"/>
    <w:semiHidden/>
    <w:qFormat/>
    <w:rsid w:val="00655E5C"/>
    <w:pPr>
      <w:jc w:val="center"/>
    </w:pPr>
    <w:rPr>
      <w:rFonts w:cs="Arial"/>
      <w:b/>
      <w:caps/>
      <w:noProof/>
      <w:color w:val="000000"/>
      <w:sz w:val="28"/>
    </w:rPr>
  </w:style>
  <w:style w:type="paragraph" w:customStyle="1" w:styleId="CAPAINFO-AUTORA">
    <w:name w:val="CAPA INFO - AUTOR(A)"/>
    <w:basedOn w:val="Normal"/>
    <w:semiHidden/>
    <w:qFormat/>
    <w:rsid w:val="00655E5C"/>
    <w:pPr>
      <w:widowControl w:val="0"/>
      <w:spacing w:after="60" w:line="360" w:lineRule="auto"/>
      <w:ind w:left="1701" w:hanging="1701"/>
      <w:jc w:val="left"/>
    </w:pPr>
    <w:rPr>
      <w:snapToGrid w:val="0"/>
      <w:color w:val="000000"/>
      <w:sz w:val="28"/>
    </w:rPr>
  </w:style>
  <w:style w:type="paragraph" w:customStyle="1" w:styleId="CAPAINFO-SOLICITANTEASSUNTO">
    <w:name w:val="CAPA INFO - SOLICITANTE/ASSUNTO"/>
    <w:basedOn w:val="Normal"/>
    <w:semiHidden/>
    <w:qFormat/>
    <w:rsid w:val="00655E5C"/>
    <w:pPr>
      <w:widowControl w:val="0"/>
      <w:spacing w:after="240" w:line="360" w:lineRule="auto"/>
    </w:pPr>
    <w:rPr>
      <w:snapToGrid w:val="0"/>
      <w:color w:val="000000"/>
      <w:sz w:val="28"/>
    </w:rPr>
  </w:style>
  <w:style w:type="paragraph" w:customStyle="1" w:styleId="CAPAINFO-TIPODETRABALHO">
    <w:name w:val="CAPA INFO - TIPO DE TRABALHO"/>
    <w:basedOn w:val="Normal"/>
    <w:semiHidden/>
    <w:qFormat/>
    <w:rsid w:val="00655E5C"/>
    <w:pPr>
      <w:widowControl w:val="0"/>
      <w:spacing w:before="4080" w:after="240" w:line="360" w:lineRule="auto"/>
    </w:pPr>
    <w:rPr>
      <w:snapToGrid w:val="0"/>
      <w:color w:val="000000"/>
      <w:sz w:val="28"/>
    </w:rPr>
  </w:style>
  <w:style w:type="paragraph" w:customStyle="1" w:styleId="CAPARELATRIO">
    <w:name w:val="CAPA RELATÓRIO"/>
    <w:basedOn w:val="Normal"/>
    <w:next w:val="Normal"/>
    <w:link w:val="CAPARELATRIOChar"/>
    <w:semiHidden/>
    <w:qFormat/>
    <w:rsid w:val="00655E5C"/>
    <w:pPr>
      <w:spacing w:before="5400" w:after="2520"/>
      <w:jc w:val="center"/>
    </w:pPr>
    <w:rPr>
      <w:rFonts w:eastAsiaTheme="minorHAnsi"/>
      <w:b/>
      <w:sz w:val="48"/>
    </w:rPr>
  </w:style>
  <w:style w:type="character" w:customStyle="1" w:styleId="CAPARELATRIOChar">
    <w:name w:val="CAPA RELATÓRIO Char"/>
    <w:basedOn w:val="Fontepargpadro"/>
    <w:link w:val="CAPARELATRIO"/>
    <w:semiHidden/>
    <w:rsid w:val="00655E5C"/>
    <w:rPr>
      <w:rFonts w:ascii="Arial" w:eastAsiaTheme="minorHAnsi" w:hAnsi="Arial" w:cs="Times New Roman"/>
      <w:b/>
      <w:sz w:val="48"/>
      <w:szCs w:val="24"/>
    </w:rPr>
  </w:style>
  <w:style w:type="paragraph" w:customStyle="1" w:styleId="CAPARELATRIO-MSANO">
    <w:name w:val="CAPA RELATÓRIO - MÊS/ANO"/>
    <w:basedOn w:val="Normal"/>
    <w:semiHidden/>
    <w:qFormat/>
    <w:rsid w:val="00655E5C"/>
    <w:pPr>
      <w:spacing w:after="0"/>
      <w:jc w:val="center"/>
    </w:pPr>
    <w:rPr>
      <w:rFonts w:cs="Arial"/>
      <w:b/>
      <w:caps/>
    </w:rPr>
  </w:style>
  <w:style w:type="paragraph" w:customStyle="1" w:styleId="CAPARELATRIO-PRESRELAT">
    <w:name w:val="CAPA RELATÓRIO - PRES/RELAT"/>
    <w:basedOn w:val="Normal"/>
    <w:next w:val="Normal"/>
    <w:autoRedefine/>
    <w:semiHidden/>
    <w:qFormat/>
    <w:rsid w:val="00655E5C"/>
    <w:pPr>
      <w:spacing w:after="0"/>
      <w:jc w:val="center"/>
    </w:pPr>
  </w:style>
  <w:style w:type="paragraph" w:customStyle="1" w:styleId="COMISSO">
    <w:name w:val="COMISSÃO"/>
    <w:basedOn w:val="Normal"/>
    <w:next w:val="Normal"/>
    <w:semiHidden/>
    <w:qFormat/>
    <w:rsid w:val="00655E5C"/>
    <w:rPr>
      <w:b/>
      <w:caps/>
      <w:sz w:val="28"/>
      <w:szCs w:val="28"/>
    </w:rPr>
  </w:style>
  <w:style w:type="paragraph" w:customStyle="1" w:styleId="CORPOPADRO">
    <w:name w:val="CORPO PADRÃO"/>
    <w:link w:val="CORPOPADROChar"/>
    <w:qFormat/>
    <w:rsid w:val="00787106"/>
    <w:pPr>
      <w:spacing w:after="120" w:line="360" w:lineRule="auto"/>
      <w:ind w:firstLine="1701"/>
      <w:jc w:val="both"/>
    </w:pPr>
    <w:rPr>
      <w:rFonts w:ascii="Arial" w:eastAsia="Times New Roman" w:hAnsi="Arial" w:cs="Times New Roman"/>
      <w:snapToGrid w:val="0"/>
      <w:color w:val="000000"/>
      <w:sz w:val="24"/>
      <w:szCs w:val="24"/>
    </w:rPr>
  </w:style>
  <w:style w:type="character" w:customStyle="1" w:styleId="CORPOPADROChar">
    <w:name w:val="CORPO PADRÃO Char"/>
    <w:basedOn w:val="Fontepargpadro"/>
    <w:link w:val="CORPOPADRO"/>
    <w:rsid w:val="00787106"/>
    <w:rPr>
      <w:rFonts w:ascii="Arial" w:eastAsia="Times New Roman" w:hAnsi="Arial" w:cs="Times New Roman"/>
      <w:snapToGrid w:val="0"/>
      <w:color w:val="000000"/>
      <w:sz w:val="24"/>
      <w:szCs w:val="24"/>
    </w:rPr>
  </w:style>
  <w:style w:type="paragraph" w:customStyle="1" w:styleId="DISCURSO">
    <w:name w:val="DISCURSO"/>
    <w:basedOn w:val="Normal"/>
    <w:semiHidden/>
    <w:qFormat/>
    <w:rsid w:val="00655E5C"/>
    <w:pPr>
      <w:spacing w:line="480" w:lineRule="auto"/>
      <w:ind w:firstLine="851"/>
    </w:pPr>
    <w:rPr>
      <w:sz w:val="32"/>
    </w:rPr>
  </w:style>
  <w:style w:type="paragraph" w:customStyle="1" w:styleId="EMENTA">
    <w:name w:val="EMENTA"/>
    <w:basedOn w:val="Normal"/>
    <w:next w:val="AUTORRELATOREMENTA"/>
    <w:semiHidden/>
    <w:qFormat/>
    <w:rsid w:val="00655E5C"/>
    <w:pPr>
      <w:widowControl w:val="0"/>
      <w:spacing w:before="720" w:after="480"/>
      <w:ind w:left="3686" w:firstLine="567"/>
    </w:pPr>
    <w:rPr>
      <w:snapToGrid w:val="0"/>
      <w:color w:val="000000"/>
    </w:rPr>
  </w:style>
  <w:style w:type="paragraph" w:customStyle="1" w:styleId="ENUMERAO">
    <w:name w:val="ENUMERAÇÃO"/>
    <w:basedOn w:val="CORPOPADRO"/>
    <w:qFormat/>
    <w:rsid w:val="00655E5C"/>
    <w:pPr>
      <w:numPr>
        <w:numId w:val="3"/>
      </w:numPr>
    </w:pPr>
  </w:style>
  <w:style w:type="paragraph" w:customStyle="1" w:styleId="EPGRAFEnomedaproposio">
    <w:name w:val="EPÍGRAFE (nome da proposição)"/>
    <w:basedOn w:val="Normal"/>
    <w:semiHidden/>
    <w:qFormat/>
    <w:rsid w:val="00655E5C"/>
    <w:pPr>
      <w:spacing w:before="720"/>
      <w:contextualSpacing/>
      <w:jc w:val="center"/>
    </w:pPr>
    <w:rPr>
      <w:rFonts w:eastAsiaTheme="majorEastAsia" w:cstheme="majorBidi"/>
      <w:b/>
      <w:caps/>
      <w:spacing w:val="-10"/>
      <w:kern w:val="28"/>
      <w:sz w:val="28"/>
      <w:szCs w:val="28"/>
    </w:rPr>
  </w:style>
  <w:style w:type="paragraph" w:customStyle="1" w:styleId="FECHOlocaledata">
    <w:name w:val="FECHO (local e data)"/>
    <w:basedOn w:val="Normal"/>
    <w:next w:val="ASSINATURA"/>
    <w:qFormat/>
    <w:rsid w:val="00655E5C"/>
    <w:pPr>
      <w:spacing w:before="720" w:after="720" w:line="360" w:lineRule="auto"/>
      <w:jc w:val="center"/>
    </w:pPr>
    <w:rPr>
      <w:snapToGrid w:val="0"/>
      <w:color w:val="000000"/>
    </w:rPr>
  </w:style>
  <w:style w:type="character" w:styleId="Hyperlink">
    <w:name w:val="Hyperlink"/>
    <w:basedOn w:val="Fontepargpadro"/>
    <w:uiPriority w:val="99"/>
    <w:semiHidden/>
    <w:rsid w:val="00655E5C"/>
    <w:rPr>
      <w:color w:val="0000FF" w:themeColor="hyperlink"/>
      <w:u w:val="single"/>
    </w:rPr>
  </w:style>
  <w:style w:type="paragraph" w:customStyle="1" w:styleId="JUSTIFICAO">
    <w:name w:val="JUSTIFICAÇÃO"/>
    <w:basedOn w:val="Normal"/>
    <w:next w:val="Normal"/>
    <w:semiHidden/>
    <w:qFormat/>
    <w:rsid w:val="00655E5C"/>
    <w:pPr>
      <w:spacing w:before="720" w:after="480"/>
      <w:jc w:val="center"/>
    </w:pPr>
    <w:rPr>
      <w:rFonts w:eastAsiaTheme="majorEastAsia" w:cstheme="majorBidi"/>
      <w:b/>
      <w:iCs/>
      <w:caps/>
      <w:sz w:val="28"/>
    </w:rPr>
  </w:style>
  <w:style w:type="paragraph" w:customStyle="1" w:styleId="LOCALDATADOCUMENTO">
    <w:name w:val="LOCAL/DATA DOCUMENTO"/>
    <w:basedOn w:val="CORPOPADRO"/>
    <w:next w:val="ASSINATURA"/>
    <w:semiHidden/>
    <w:qFormat/>
    <w:rsid w:val="00655E5C"/>
    <w:pPr>
      <w:spacing w:before="720" w:after="720"/>
      <w:ind w:firstLine="0"/>
      <w:jc w:val="center"/>
    </w:pPr>
  </w:style>
  <w:style w:type="paragraph" w:customStyle="1" w:styleId="NDEPGINA">
    <w:name w:val="Nº DE PÁGINA"/>
    <w:basedOn w:val="Normal"/>
    <w:next w:val="Normal"/>
    <w:semiHidden/>
    <w:qFormat/>
    <w:rsid w:val="00655E5C"/>
    <w:pPr>
      <w:jc w:val="right"/>
    </w:pPr>
    <w:rPr>
      <w:sz w:val="22"/>
    </w:rPr>
  </w:style>
  <w:style w:type="paragraph" w:customStyle="1" w:styleId="NDOTRABALHOSISCONLE">
    <w:name w:val="Nº DO TRABALHO SISCONLE"/>
    <w:basedOn w:val="Normal"/>
    <w:semiHidden/>
    <w:qFormat/>
    <w:rsid w:val="00655E5C"/>
    <w:pPr>
      <w:widowControl w:val="0"/>
    </w:pPr>
    <w:rPr>
      <w:snapToGrid w:val="0"/>
      <w:color w:val="000000"/>
      <w:sz w:val="16"/>
    </w:rPr>
  </w:style>
  <w:style w:type="paragraph" w:customStyle="1" w:styleId="NOTADERODAP">
    <w:name w:val="NOTA DE RODAPÉ"/>
    <w:basedOn w:val="Normal"/>
    <w:qFormat/>
    <w:rsid w:val="00655E5C"/>
    <w:pPr>
      <w:tabs>
        <w:tab w:val="center" w:pos="4419"/>
        <w:tab w:val="right" w:pos="8838"/>
      </w:tabs>
      <w:spacing w:after="60"/>
      <w:ind w:left="142" w:hanging="142"/>
    </w:pPr>
    <w:rPr>
      <w:sz w:val="20"/>
    </w:rPr>
  </w:style>
  <w:style w:type="character" w:styleId="Nmerodepgina">
    <w:name w:val="page number"/>
    <w:basedOn w:val="Fontepargpadro"/>
    <w:uiPriority w:val="99"/>
    <w:semiHidden/>
    <w:rsid w:val="00655E5C"/>
    <w:rPr>
      <w:rFonts w:ascii="Arial" w:hAnsi="Arial"/>
      <w:sz w:val="22"/>
    </w:rPr>
  </w:style>
  <w:style w:type="paragraph" w:customStyle="1" w:styleId="PREMBULO">
    <w:name w:val="PREÂMBULO"/>
    <w:basedOn w:val="Normal"/>
    <w:next w:val="Normal"/>
    <w:semiHidden/>
    <w:qFormat/>
    <w:rsid w:val="00655E5C"/>
    <w:pPr>
      <w:spacing w:before="720" w:after="360" w:line="360" w:lineRule="auto"/>
      <w:ind w:firstLine="1701"/>
    </w:pPr>
    <w:rPr>
      <w:snapToGrid w:val="0"/>
      <w:color w:val="000000"/>
    </w:rPr>
  </w:style>
  <w:style w:type="character" w:styleId="Refdenotaderodap">
    <w:name w:val="footnote reference"/>
    <w:basedOn w:val="Fontepargpadro"/>
    <w:uiPriority w:val="99"/>
    <w:semiHidden/>
    <w:rsid w:val="00655E5C"/>
    <w:rPr>
      <w:vertAlign w:val="superscript"/>
    </w:rPr>
  </w:style>
  <w:style w:type="paragraph" w:customStyle="1" w:styleId="RELATRIOVOTO">
    <w:name w:val="RELATÓRIO/VOTO"/>
    <w:basedOn w:val="Normal"/>
    <w:next w:val="Normal"/>
    <w:semiHidden/>
    <w:qFormat/>
    <w:rsid w:val="00655E5C"/>
    <w:pPr>
      <w:keepNext/>
      <w:widowControl w:val="0"/>
      <w:spacing w:before="720" w:after="480" w:line="360" w:lineRule="auto"/>
    </w:pPr>
    <w:rPr>
      <w:b/>
      <w:caps/>
      <w:sz w:val="28"/>
      <w:szCs w:val="28"/>
    </w:rPr>
  </w:style>
  <w:style w:type="paragraph" w:customStyle="1" w:styleId="RESUMOEXECUTIVO">
    <w:name w:val="RESUMO EXECUTIVO"/>
    <w:basedOn w:val="Normal"/>
    <w:uiPriority w:val="1"/>
    <w:semiHidden/>
    <w:qFormat/>
    <w:rsid w:val="00E14E13"/>
    <w:pPr>
      <w:spacing w:after="60"/>
    </w:pPr>
    <w:rPr>
      <w:rFonts w:eastAsia="Cambria"/>
      <w:lang w:val="pt-PT"/>
    </w:rPr>
  </w:style>
  <w:style w:type="paragraph" w:customStyle="1" w:styleId="RESUMOSUMRIO">
    <w:name w:val="RESUMO/SUMÁRIO"/>
    <w:basedOn w:val="Normal"/>
    <w:next w:val="Normal"/>
    <w:semiHidden/>
    <w:qFormat/>
    <w:rsid w:val="00A21213"/>
    <w:pPr>
      <w:spacing w:after="200" w:line="360" w:lineRule="auto"/>
      <w:jc w:val="center"/>
    </w:pPr>
    <w:rPr>
      <w:rFonts w:ascii="Arial Black" w:eastAsiaTheme="minorHAnsi" w:hAnsi="Arial Black" w:cs="Arial"/>
      <w:b/>
      <w:caps/>
      <w:color w:val="308D46"/>
      <w:sz w:val="28"/>
      <w:szCs w:val="22"/>
    </w:rPr>
  </w:style>
  <w:style w:type="paragraph" w:customStyle="1" w:styleId="SUMRIO">
    <w:name w:val="SUMÁRIO"/>
    <w:basedOn w:val="Normal"/>
    <w:next w:val="Normal"/>
    <w:qFormat/>
    <w:rsid w:val="00CE4313"/>
    <w:pPr>
      <w:widowControl w:val="0"/>
      <w:autoSpaceDE w:val="0"/>
      <w:autoSpaceDN w:val="0"/>
      <w:spacing w:before="90" w:after="0"/>
      <w:ind w:left="23" w:right="599"/>
      <w:jc w:val="center"/>
    </w:pPr>
    <w:rPr>
      <w:rFonts w:ascii="Arial Black" w:eastAsia="Cambria" w:hAnsi="Arial Black" w:cs="Cambria"/>
      <w:caps/>
      <w:color w:val="3E6F30"/>
      <w:spacing w:val="-2"/>
      <w:szCs w:val="22"/>
      <w:lang w:val="pt-PT"/>
    </w:rPr>
  </w:style>
  <w:style w:type="paragraph" w:customStyle="1" w:styleId="TTULOITEM1">
    <w:name w:val="TÍTULO ITEM (1.)"/>
    <w:basedOn w:val="Normal"/>
    <w:uiPriority w:val="1"/>
    <w:qFormat/>
    <w:rsid w:val="008242DF"/>
    <w:pPr>
      <w:pBdr>
        <w:bottom w:val="single" w:sz="12" w:space="1" w:color="308D46"/>
      </w:pBdr>
      <w:spacing w:before="360" w:after="240" w:line="276" w:lineRule="auto"/>
    </w:pPr>
    <w:rPr>
      <w:rFonts w:ascii="Arial Black" w:hAnsi="Arial Black" w:cs="Arial"/>
      <w:b/>
      <w:caps/>
      <w:color w:val="3E6F30"/>
    </w:rPr>
  </w:style>
  <w:style w:type="paragraph" w:styleId="Sumrio1">
    <w:name w:val="toc 1"/>
    <w:basedOn w:val="TTULOITEM1"/>
    <w:next w:val="Normal"/>
    <w:autoRedefine/>
    <w:uiPriority w:val="39"/>
    <w:semiHidden/>
    <w:rsid w:val="00655E5C"/>
    <w:pPr>
      <w:pBdr>
        <w:bottom w:val="none" w:sz="0" w:space="0" w:color="auto"/>
      </w:pBdr>
      <w:spacing w:before="0" w:after="0" w:line="360" w:lineRule="auto"/>
    </w:pPr>
    <w:rPr>
      <w:rFonts w:ascii="Arial" w:hAnsi="Arial"/>
      <w:color w:val="000000" w:themeColor="text1"/>
    </w:rPr>
  </w:style>
  <w:style w:type="paragraph" w:customStyle="1" w:styleId="TTULOSUBITEM11">
    <w:name w:val="TÍTULO SUBITEM (1.1)"/>
    <w:basedOn w:val="Normal"/>
    <w:uiPriority w:val="1"/>
    <w:qFormat/>
    <w:rsid w:val="00CE4313"/>
    <w:pPr>
      <w:keepNext/>
      <w:keepLines/>
      <w:widowControl w:val="0"/>
      <w:spacing w:before="360" w:after="240" w:line="276" w:lineRule="auto"/>
      <w:ind w:firstLine="567"/>
      <w:outlineLvl w:val="1"/>
    </w:pPr>
    <w:rPr>
      <w:rFonts w:cs="Arial"/>
      <w:b/>
      <w:caps/>
      <w:snapToGrid w:val="0"/>
      <w:color w:val="3E6F30"/>
    </w:rPr>
  </w:style>
  <w:style w:type="paragraph" w:styleId="Sumrio2">
    <w:name w:val="toc 2"/>
    <w:basedOn w:val="TTULOSUBITEM11"/>
    <w:next w:val="Normal"/>
    <w:autoRedefine/>
    <w:uiPriority w:val="39"/>
    <w:semiHidden/>
    <w:rsid w:val="00655E5C"/>
    <w:pPr>
      <w:spacing w:before="0" w:after="0" w:line="360" w:lineRule="auto"/>
      <w:ind w:left="238" w:firstLine="0"/>
    </w:pPr>
    <w:rPr>
      <w:b w:val="0"/>
      <w:color w:val="000000" w:themeColor="text1"/>
    </w:rPr>
  </w:style>
  <w:style w:type="paragraph" w:styleId="Sumrio3">
    <w:name w:val="toc 3"/>
    <w:basedOn w:val="Normal"/>
    <w:next w:val="Normal"/>
    <w:autoRedefine/>
    <w:uiPriority w:val="39"/>
    <w:semiHidden/>
    <w:rsid w:val="00655E5C"/>
    <w:pPr>
      <w:spacing w:after="0" w:line="360" w:lineRule="auto"/>
      <w:ind w:left="482"/>
    </w:pPr>
  </w:style>
  <w:style w:type="paragraph" w:customStyle="1" w:styleId="TabelaaTtulo">
    <w:name w:val="Tabela (a) Título"/>
    <w:link w:val="TabelaaTtuloChar"/>
    <w:semiHidden/>
    <w:rsid w:val="00655E5C"/>
    <w:pPr>
      <w:keepNext/>
      <w:keepLines/>
      <w:numPr>
        <w:numId w:val="4"/>
      </w:numPr>
      <w:tabs>
        <w:tab w:val="clear" w:pos="1080"/>
      </w:tabs>
      <w:autoSpaceDE w:val="0"/>
      <w:autoSpaceDN w:val="0"/>
      <w:adjustRightInd w:val="0"/>
      <w:spacing w:before="120" w:after="0" w:line="240" w:lineRule="auto"/>
      <w:jc w:val="center"/>
    </w:pPr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character" w:customStyle="1" w:styleId="TabelaaTtuloChar">
    <w:name w:val="Tabela (a) Título Char"/>
    <w:link w:val="TabelaaTtulo"/>
    <w:semiHidden/>
    <w:rsid w:val="00655E5C"/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paragraph" w:customStyle="1" w:styleId="TabelabSubttulo">
    <w:name w:val="Tabela (b) Subtítulo"/>
    <w:link w:val="TabelabSubttuloChar"/>
    <w:semiHidden/>
    <w:qFormat/>
    <w:rsid w:val="00655E5C"/>
    <w:pPr>
      <w:keepNext/>
      <w:keepLines/>
      <w:spacing w:before="80" w:after="80" w:line="240" w:lineRule="auto"/>
      <w:jc w:val="center"/>
    </w:pPr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character" w:customStyle="1" w:styleId="TabelabSubttuloChar">
    <w:name w:val="Tabela (b) Subtítulo Char"/>
    <w:link w:val="TabelabSubttulo"/>
    <w:semiHidden/>
    <w:rsid w:val="00655E5C"/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paragraph" w:customStyle="1" w:styleId="TabelacCabeaColuna">
    <w:name w:val="Tabela (c) Cabeça Coluna"/>
    <w:semiHidden/>
    <w:rsid w:val="00655E5C"/>
    <w:pPr>
      <w:autoSpaceDE w:val="0"/>
      <w:autoSpaceDN w:val="0"/>
      <w:adjustRightInd w:val="0"/>
      <w:spacing w:after="0" w:line="240" w:lineRule="auto"/>
      <w:ind w:left="57" w:right="57"/>
      <w:jc w:val="center"/>
    </w:pPr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dCabeaLinha">
    <w:name w:val="Tabela (d) Cabeça Linha"/>
    <w:semiHidden/>
    <w:rsid w:val="00655E5C"/>
    <w:pPr>
      <w:spacing w:after="0" w:line="240" w:lineRule="auto"/>
      <w:ind w:left="57" w:right="57"/>
    </w:pPr>
    <w:rPr>
      <w:rFonts w:ascii="Arial Narrow" w:eastAsia="Times New Roman" w:hAnsi="Arial Narrow" w:cs="Times New Roman"/>
      <w:b/>
      <w:color w:val="000000"/>
      <w:sz w:val="20"/>
      <w:szCs w:val="20"/>
      <w:lang w:eastAsia="pt-BR"/>
    </w:rPr>
  </w:style>
  <w:style w:type="paragraph" w:customStyle="1" w:styleId="TabelaeValores">
    <w:name w:val="Tabela (e) Valores"/>
    <w:link w:val="TabelaeValoresChar"/>
    <w:semiHidden/>
    <w:rsid w:val="00655E5C"/>
    <w:pPr>
      <w:keepLines/>
      <w:spacing w:after="0" w:line="240" w:lineRule="auto"/>
      <w:ind w:left="57" w:right="57"/>
      <w:jc w:val="right"/>
    </w:pPr>
    <w:rPr>
      <w:rFonts w:ascii="Arial Narrow" w:eastAsia="Times New Roman" w:hAnsi="Arial Narrow" w:cs="Times New Roman"/>
      <w:sz w:val="20"/>
      <w:szCs w:val="20"/>
      <w:lang w:eastAsia="pt-BR"/>
    </w:rPr>
  </w:style>
  <w:style w:type="character" w:customStyle="1" w:styleId="TabelaeValoresChar">
    <w:name w:val="Tabela (e) Valores Char"/>
    <w:link w:val="TabelaeValores"/>
    <w:semiHidden/>
    <w:rsid w:val="00655E5C"/>
    <w:rPr>
      <w:rFonts w:ascii="Arial Narrow" w:eastAsia="Times New Roman" w:hAnsi="Arial Narrow" w:cs="Times New Roman"/>
      <w:sz w:val="20"/>
      <w:szCs w:val="20"/>
      <w:lang w:eastAsia="pt-BR"/>
    </w:rPr>
  </w:style>
  <w:style w:type="paragraph" w:customStyle="1" w:styleId="TabelafTotais">
    <w:name w:val="Tabela (f) Totais"/>
    <w:basedOn w:val="TabelaeValores"/>
    <w:link w:val="TabelafTotaisChar"/>
    <w:semiHidden/>
    <w:qFormat/>
    <w:rsid w:val="00655E5C"/>
    <w:rPr>
      <w:b/>
    </w:rPr>
  </w:style>
  <w:style w:type="character" w:customStyle="1" w:styleId="TabelafTotaisChar">
    <w:name w:val="Tabela (f) Totais Char"/>
    <w:link w:val="TabelafTotais"/>
    <w:semiHidden/>
    <w:rsid w:val="00655E5C"/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gFonteNota">
    <w:name w:val="Tabela (g) Fonte/Nota"/>
    <w:semiHidden/>
    <w:rsid w:val="00655E5C"/>
    <w:pPr>
      <w:spacing w:after="0" w:line="240" w:lineRule="auto"/>
    </w:pPr>
    <w:rPr>
      <w:rFonts w:ascii="Arial Narrow" w:eastAsia="Times New Roman" w:hAnsi="Arial Narrow" w:cs="Times New Roman"/>
      <w:sz w:val="18"/>
      <w:szCs w:val="20"/>
      <w:lang w:eastAsia="pt-BR"/>
    </w:rPr>
  </w:style>
  <w:style w:type="table" w:styleId="Tabelacomgrade">
    <w:name w:val="Table Grid"/>
    <w:basedOn w:val="Tabelanormal"/>
    <w:uiPriority w:val="59"/>
    <w:rsid w:val="00655E5C"/>
    <w:pPr>
      <w:spacing w:after="0" w:line="240" w:lineRule="auto"/>
    </w:pPr>
    <w:rPr>
      <w:rFonts w:ascii="Arial" w:eastAsia="Times New Roman" w:hAnsi="Arial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NLE">
    <w:name w:val="TABELA CONLE"/>
    <w:basedOn w:val="Tabelanormal"/>
    <w:uiPriority w:val="99"/>
    <w:rsid w:val="00655E5C"/>
    <w:pPr>
      <w:spacing w:after="0" w:line="240" w:lineRule="auto"/>
      <w:jc w:val="center"/>
    </w:pPr>
    <w:rPr>
      <w:rFonts w:ascii="Arial" w:eastAsia="Times New Roman" w:hAnsi="Arial" w:cs="Times New Roman"/>
      <w:szCs w:val="24"/>
      <w:lang w:eastAsia="pt-BR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Ttulo2Char">
    <w:name w:val="Título 2 Char"/>
    <w:aliases w:val="Parágrafo Char"/>
    <w:basedOn w:val="Fontepargpadro"/>
    <w:link w:val="Ttulo2"/>
    <w:uiPriority w:val="9"/>
    <w:rsid w:val="00237E05"/>
    <w:rPr>
      <w:rFonts w:ascii="Arial" w:eastAsiaTheme="majorEastAsia" w:hAnsi="Arial" w:cstheme="majorBidi"/>
      <w:bCs/>
      <w:snapToGrid w:val="0"/>
      <w:color w:val="000000"/>
      <w:sz w:val="24"/>
      <w:szCs w:val="26"/>
    </w:rPr>
  </w:style>
  <w:style w:type="paragraph" w:customStyle="1" w:styleId="TABELASEFIGURAS-FONTE">
    <w:name w:val="TABELAS E FIGURAS - FONTE"/>
    <w:basedOn w:val="Ttulo2"/>
    <w:next w:val="CORPOPADRO"/>
    <w:uiPriority w:val="1"/>
    <w:qFormat/>
    <w:rsid w:val="000C1182"/>
    <w:pPr>
      <w:numPr>
        <w:ilvl w:val="0"/>
        <w:numId w:val="0"/>
      </w:numPr>
      <w:spacing w:line="240" w:lineRule="exact"/>
      <w:contextualSpacing/>
    </w:pPr>
    <w:rPr>
      <w:sz w:val="18"/>
    </w:rPr>
  </w:style>
  <w:style w:type="paragraph" w:customStyle="1" w:styleId="TABELASEFIGURAS-TTULO">
    <w:name w:val="TABELAS E FIGURAS - TÍTULO"/>
    <w:basedOn w:val="TABELASEFIGURAS-FONTE"/>
    <w:next w:val="CORPOPADRO"/>
    <w:uiPriority w:val="1"/>
    <w:qFormat/>
    <w:rsid w:val="00655E5C"/>
    <w:pPr>
      <w:spacing w:before="240" w:after="120" w:line="240" w:lineRule="auto"/>
      <w:jc w:val="center"/>
    </w:pPr>
    <w:rPr>
      <w:b/>
      <w:sz w:val="24"/>
    </w:rPr>
  </w:style>
  <w:style w:type="paragraph" w:styleId="Textodebalo">
    <w:name w:val="Balloon Text"/>
    <w:basedOn w:val="Normal"/>
    <w:link w:val="TextodebaloChar"/>
    <w:uiPriority w:val="99"/>
    <w:semiHidden/>
    <w:rsid w:val="00655E5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5E5C"/>
    <w:rPr>
      <w:rFonts w:ascii="Segoe UI" w:eastAsia="Times New Roman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autoRedefine/>
    <w:uiPriority w:val="99"/>
    <w:semiHidden/>
    <w:rsid w:val="00655E5C"/>
    <w:pPr>
      <w:spacing w:after="0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5E5C"/>
    <w:rPr>
      <w:rFonts w:ascii="Arial" w:eastAsia="Times New Roman" w:hAnsi="Arial" w:cs="Times New Roman"/>
      <w:sz w:val="20"/>
      <w:szCs w:val="24"/>
    </w:rPr>
  </w:style>
  <w:style w:type="character" w:customStyle="1" w:styleId="Ttulo1Char">
    <w:name w:val="Título 1 Char"/>
    <w:aliases w:val="Artigo Char"/>
    <w:basedOn w:val="Fontepargpadro"/>
    <w:link w:val="Ttulo1"/>
    <w:uiPriority w:val="13"/>
    <w:semiHidden/>
    <w:rsid w:val="00237E05"/>
    <w:rPr>
      <w:rFonts w:ascii="Arial" w:eastAsiaTheme="majorEastAsia" w:hAnsi="Arial" w:cstheme="majorBidi"/>
      <w:bCs/>
      <w:snapToGrid w:val="0"/>
      <w:color w:val="000000"/>
      <w:sz w:val="24"/>
      <w:szCs w:val="28"/>
    </w:rPr>
  </w:style>
  <w:style w:type="character" w:customStyle="1" w:styleId="Ttulo3Char">
    <w:name w:val="Título 3 Char"/>
    <w:aliases w:val="Inciso Char"/>
    <w:basedOn w:val="Fontepargpadro"/>
    <w:link w:val="Ttulo3"/>
    <w:uiPriority w:val="9"/>
    <w:rsid w:val="00237E05"/>
    <w:rPr>
      <w:rFonts w:ascii="Arial" w:eastAsiaTheme="majorEastAsia" w:hAnsi="Arial" w:cstheme="majorBidi"/>
      <w:bCs/>
      <w:snapToGrid w:val="0"/>
      <w:color w:val="000000"/>
      <w:sz w:val="24"/>
    </w:rPr>
  </w:style>
  <w:style w:type="character" w:customStyle="1" w:styleId="Ttulo4Char">
    <w:name w:val="Título 4 Char"/>
    <w:aliases w:val="Alínea Char"/>
    <w:basedOn w:val="Fontepargpadro"/>
    <w:link w:val="Ttulo4"/>
    <w:uiPriority w:val="16"/>
    <w:semiHidden/>
    <w:rsid w:val="00237E05"/>
    <w:rPr>
      <w:rFonts w:ascii="Arial" w:eastAsiaTheme="majorEastAsia" w:hAnsi="Arial" w:cstheme="majorBidi"/>
      <w:bCs/>
      <w:iCs/>
      <w:snapToGrid w:val="0"/>
      <w:color w:val="000000"/>
      <w:sz w:val="24"/>
    </w:rPr>
  </w:style>
  <w:style w:type="character" w:customStyle="1" w:styleId="Ttulo5Char">
    <w:name w:val="Título 5 Char"/>
    <w:aliases w:val="Item Char"/>
    <w:basedOn w:val="Fontepargpadro"/>
    <w:link w:val="Ttulo5"/>
    <w:uiPriority w:val="17"/>
    <w:semiHidden/>
    <w:rsid w:val="00237E05"/>
    <w:rPr>
      <w:rFonts w:ascii="Arial" w:eastAsiaTheme="majorEastAsia" w:hAnsi="Arial" w:cstheme="majorBidi"/>
      <w:snapToGrid w:val="0"/>
      <w:color w:val="000000"/>
      <w:sz w:val="24"/>
    </w:rPr>
  </w:style>
  <w:style w:type="character" w:customStyle="1" w:styleId="Ttulo6Char">
    <w:name w:val="Título 6 Char"/>
    <w:aliases w:val="Capítulo/Título Char"/>
    <w:basedOn w:val="Fontepargpadro"/>
    <w:link w:val="Ttulo6"/>
    <w:uiPriority w:val="18"/>
    <w:semiHidden/>
    <w:rsid w:val="00237E05"/>
    <w:rPr>
      <w:rFonts w:ascii="Arial" w:eastAsiaTheme="majorEastAsia" w:hAnsi="Arial" w:cstheme="majorBidi"/>
      <w:caps/>
      <w:snapToGrid w:val="0"/>
      <w:sz w:val="24"/>
      <w:szCs w:val="24"/>
    </w:rPr>
  </w:style>
  <w:style w:type="character" w:customStyle="1" w:styleId="Ttulo7Char">
    <w:name w:val="Título 7 Char"/>
    <w:aliases w:val="Seção/Subseção Char"/>
    <w:basedOn w:val="Fontepargpadro"/>
    <w:link w:val="Ttulo7"/>
    <w:uiPriority w:val="19"/>
    <w:semiHidden/>
    <w:rsid w:val="00237E05"/>
    <w:rPr>
      <w:rFonts w:ascii="Arial" w:eastAsiaTheme="majorEastAsia" w:hAnsi="Arial" w:cstheme="majorBidi"/>
      <w:b/>
      <w:iCs/>
      <w:snapToGrid w:val="0"/>
      <w:sz w:val="24"/>
      <w:szCs w:val="24"/>
    </w:rPr>
  </w:style>
  <w:style w:type="paragraph" w:customStyle="1" w:styleId="TTULOSUBITEM-NVEL2111">
    <w:name w:val="TÍTULO SUBITEM-NÍVEL2 (1.1.1)"/>
    <w:basedOn w:val="TTULOSUBITEM11"/>
    <w:uiPriority w:val="1"/>
    <w:qFormat/>
    <w:rsid w:val="00917D11"/>
    <w:pPr>
      <w:ind w:firstLine="1134"/>
    </w:pPr>
    <w:rPr>
      <w:caps w:val="0"/>
    </w:rPr>
  </w:style>
  <w:style w:type="paragraph" w:customStyle="1" w:styleId="TRANSCRIO">
    <w:name w:val="TRANSCRIÇÃO"/>
    <w:basedOn w:val="Normal"/>
    <w:uiPriority w:val="1"/>
    <w:qFormat/>
    <w:rsid w:val="00C77C2A"/>
    <w:pPr>
      <w:spacing w:after="60"/>
      <w:ind w:left="2268" w:firstLine="709"/>
    </w:pPr>
    <w:rPr>
      <w:sz w:val="22"/>
    </w:rPr>
  </w:style>
  <w:style w:type="paragraph" w:customStyle="1" w:styleId="msonormal0">
    <w:name w:val="msonormal"/>
    <w:basedOn w:val="Normal"/>
    <w:rsid w:val="00BB1499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1499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BB1499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BB1499"/>
    <w:rPr>
      <w:color w:val="800080"/>
      <w:u w:val="single"/>
    </w:rPr>
  </w:style>
  <w:style w:type="character" w:styleId="nfase">
    <w:name w:val="Emphasis"/>
    <w:basedOn w:val="Fontepargpadro"/>
    <w:uiPriority w:val="20"/>
    <w:qFormat/>
    <w:rsid w:val="00BB149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B149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B1499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E52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3D6D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constituicao/emendas/emc/emc111.htm" TargetMode="External"/><Relationship Id="rId18" Type="http://schemas.openxmlformats.org/officeDocument/2006/relationships/hyperlink" Target="https://www.tse.jus.br/eleicoes/eleicoes-2024-content/arquivos/calculo-fundo-especial-financiamento-de-campanha-2024" TargetMode="External"/><Relationship Id="rId26" Type="http://schemas.openxmlformats.org/officeDocument/2006/relationships/hyperlink" Target="https://www.tse.jus.br/partidos/contas-partidarias/fundo-partidario-1/arquivos/duodecimo-dezembro-2024-1" TargetMode="External"/><Relationship Id="rId39" Type="http://schemas.openxmlformats.org/officeDocument/2006/relationships/hyperlink" Target="https://dadosabertos.tse.jus.br/" TargetMode="External"/><Relationship Id="rId21" Type="http://schemas.openxmlformats.org/officeDocument/2006/relationships/hyperlink" Target="https://www.tse.jus.br/partidos/contas-partidarias/fundo-partidario-1/arquivos/duodecimo-dezembro-2024-1" TargetMode="External"/><Relationship Id="rId34" Type="http://schemas.openxmlformats.org/officeDocument/2006/relationships/hyperlink" Target="https://www.planalto.gov.br/ccivil_03/Constituicao/Emendas/Emc/emc111.htm" TargetMode="External"/><Relationship Id="rId42" Type="http://schemas.openxmlformats.org/officeDocument/2006/relationships/hyperlink" Target="https://www.tse.jus.br/partidos/contas-partidarias/fundo-partidario-1/arquivos/duodecimo-dezembro-2024-1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adosabertos.tse.jus.br/" TargetMode="External"/><Relationship Id="rId29" Type="http://schemas.openxmlformats.org/officeDocument/2006/relationships/hyperlink" Target="https://dadosabertos.tse.jus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www.tse.jus.br/eleicoes/eleicoes-2024-content/arquivos/calculo-fundo-especial-financiamento-de-campanha-2024" TargetMode="External"/><Relationship Id="rId32" Type="http://schemas.openxmlformats.org/officeDocument/2006/relationships/hyperlink" Target="https://www.tse.jus.br/eleicoes/eleicoes-2024-content/arquivos/calculo-fundo-especial-financiamento-de-campanha-2024" TargetMode="External"/><Relationship Id="rId37" Type="http://schemas.openxmlformats.org/officeDocument/2006/relationships/hyperlink" Target="https://www.tse.jus.br/eleicoes/eleicoes-2022/prestacao-de-contas/arquivos/calculo-de-distribuicao-do-fefc" TargetMode="External"/><Relationship Id="rId40" Type="http://schemas.openxmlformats.org/officeDocument/2006/relationships/hyperlink" Target="https://www.tse.jus.br/partidos/contas-partidarias/fundo-partidario-1/arquivos/2022/tse-dotacao-orcamentaria-dezembro-2022" TargetMode="Externa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www.planalto.gov.br/ccivil_03/Leis/L9504compilado.htm" TargetMode="External"/><Relationship Id="rId23" Type="http://schemas.openxmlformats.org/officeDocument/2006/relationships/hyperlink" Target="https://dadosabertos.tse.jus.br/" TargetMode="External"/><Relationship Id="rId28" Type="http://schemas.openxmlformats.org/officeDocument/2006/relationships/hyperlink" Target="https://dadosabertos.tse.jus.br/" TargetMode="External"/><Relationship Id="rId36" Type="http://schemas.openxmlformats.org/officeDocument/2006/relationships/hyperlink" Target="https://www.planalto.gov.br/ccivil_03/Leis/L9504compilado.htm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tse.jus.br/partidos/contas-partidarias/fundo-partidario-1/arquivos/2022/tse-dotacao-orcamentaria-dezembro-2022" TargetMode="External"/><Relationship Id="rId31" Type="http://schemas.openxmlformats.org/officeDocument/2006/relationships/hyperlink" Target="https://www.tse.jus.br/partidos/contas-partidarias/fundo-partidario-1/arquivos/duodecimo-dezembro-2024-1" TargetMode="External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planalto.gov.br/ccivil_03/Leis/L9096.htm" TargetMode="External"/><Relationship Id="rId22" Type="http://schemas.openxmlformats.org/officeDocument/2006/relationships/hyperlink" Target="https://www.tse.jus.br/partidos/contas-partidarias/fundo-partidario-1/arquivos/2025/duodecimo-dezembro-2025" TargetMode="External"/><Relationship Id="rId27" Type="http://schemas.openxmlformats.org/officeDocument/2006/relationships/hyperlink" Target="https://www.tse.jus.br/partidos/contas-partidarias/fundo-partidario-1/arquivos/2025/duodecimo-dezembro-2025" TargetMode="External"/><Relationship Id="rId30" Type="http://schemas.openxmlformats.org/officeDocument/2006/relationships/hyperlink" Target="https://www.tse.jus.br/partidos/contas-partidarias/fundo-partidario-1/arquivos/2023/duodecimo-2023-republicada-em-2024" TargetMode="External"/><Relationship Id="rId35" Type="http://schemas.openxmlformats.org/officeDocument/2006/relationships/hyperlink" Target="https://www.planalto.gov.br/ccivil_03/Leis/L9096.htm" TargetMode="External"/><Relationship Id="rId43" Type="http://schemas.openxmlformats.org/officeDocument/2006/relationships/hyperlink" Target="https://www.tse.jus.br/partidos/contas-partidarias/fundo-partidario-1/arquivos/2025/duodecimo-dezembro-2025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www.tse.jus.br/eleicoes/eleicoes-2022/prestacao-de-contas/arquivos/calculo-de-distribuicao-do-fefc" TargetMode="External"/><Relationship Id="rId25" Type="http://schemas.openxmlformats.org/officeDocument/2006/relationships/hyperlink" Target="https://www.tse.jus.br/partidos/contas-partidarias/fundo-partidario-1/arquivos/2023/duodecimo-2023-republicada-em-2024" TargetMode="External"/><Relationship Id="rId33" Type="http://schemas.openxmlformats.org/officeDocument/2006/relationships/hyperlink" Target="https://www.tse.jus.br/partidos/contas-partidarias/fundo-partidario-1/arquivos/2025/duodecimo-dezembro-2025" TargetMode="External"/><Relationship Id="rId38" Type="http://schemas.openxmlformats.org/officeDocument/2006/relationships/hyperlink" Target="https://www.tse.jus.br/eleicoes/eleicoes-2024-content/arquivos/calculo-fundo-especial-financiamento-de-campanha-2024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tse.jus.br/partidos/contas-partidarias/fundo-partidario-1/arquivos/2023/duodecimo-2023-republicada-em-2024" TargetMode="External"/><Relationship Id="rId41" Type="http://schemas.openxmlformats.org/officeDocument/2006/relationships/hyperlink" Target="https://www.tse.jus.br/partidos/contas-partidarias/fundo-partidario-1/arquivos/2023/duodecimo-2023-republicada-em-202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9589B-5266-4192-A2E1-153F9F4B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4259</Words>
  <Characters>22999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MOD.CONLE.ST 7765/2026</dc:creator>
  <cp:lastModifiedBy>Maurício Augusto Chiramonte Vieira</cp:lastModifiedBy>
  <cp:revision>48</cp:revision>
  <cp:lastPrinted>2024-10-07T17:41:00Z</cp:lastPrinted>
  <dcterms:created xsi:type="dcterms:W3CDTF">2026-05-22T11:39:00Z</dcterms:created>
  <dcterms:modified xsi:type="dcterms:W3CDTF">2026-05-22T12:32:00Z</dcterms:modified>
</cp:coreProperties>
</file>