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963"/>
        <w:gridCol w:w="7008"/>
      </w:tblGrid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Título: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Mineração de dados e características da mortalidade infantil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Local de Publicação: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Rio de Janeiro, Brasil: Cad. Saúde Pública vol.26 no.3. pag.535-542. Mar. 2010</w:t>
            </w:r>
          </w:p>
          <w:p>
            <w:pPr>
              <w:pStyle w:val="TableContents"/>
              <w:rPr/>
            </w:pPr>
            <w:hyperlink r:id="rId2">
              <w:r>
                <w:rPr>
                  <w:rStyle w:val="InternetLink"/>
                  <w:lang w:val="pt-BR"/>
                </w:rPr>
                <w:t>http://dx.doi.org/10.1590/S0102-311X2010000300011</w:t>
              </w:r>
            </w:hyperlink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Responsável pelo fichamento: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b w:val="false"/>
                <w:bCs w:val="false"/>
                <w:lang w:val="pt-BR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pt-BR"/>
              </w:rPr>
              <w:t>Maurício Collaça Ramos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Autor principal (nome e link para o Lattes ou outra fonte):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Rossana Cristina Xavier Ferreira Vianna</w:t>
            </w:r>
          </w:p>
          <w:p>
            <w:pPr>
              <w:pStyle w:val="TableContents"/>
              <w:rPr/>
            </w:pPr>
            <w:hyperlink r:id="rId3">
              <w:r>
                <w:rPr>
                  <w:rStyle w:val="InternetLink"/>
                  <w:lang w:val="pt-BR"/>
                </w:rPr>
                <w:t>http://lattes.cnpq.br/2030248439124590</w:t>
              </w:r>
            </w:hyperlink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Tema\Assunto: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Base de Dados; Mortalidade Infantil; Sistemas de Informação;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Inteligência Artificial; Vigilância Epidemiológica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Abordagem metodológica utilizada: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Pesquisa exploratória com abordagem qualitativa na análise de documentos.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Principais conceitos, terminologia e enfoques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que sustentam a argumentação: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SIS - Sistemas de Informação em Saúde são sistemas que reúnem, guardam, processam e facultam a informação clínica, não clínica, ou administrativa à uma organização de saúde, informação que deve ser útil e estar acessível àqueles que dela necessitam. Podem ser desenvolvidos para uso macro-econômico, utilizados em Ministérios, Secretarias de Estado ou Prefeituras / Câmaras Municipais (neste caso condensando informações de outros subsistemas ou redes locais), ou para uso micro-econômico (clínicas, hospitais, redes empresariais).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SIM – Sistema de Informação sobre Mortalidade com a finalidade de reunir dados quantitativos e qualitativos sobre óbitos ocorridos no Brasil, iniciado em 1975, provido pelo Datasus e com abrangência municipal, estadual e federal.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SINASC – Sistema de Informação sobre Nascidos Vivos que reúne informações epidemiológicas referentes aos nascimentos informados em território nacional, implantado gradualmente a partir de 1990, provido pelo Datasus, com abrangência municipal, estadual e federal e cobertura estimada de 93% dos nascidos vivos do país.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CEPMI – Comitês Estadual de Prevenção da Mortalidade Infantil podendo ser regionais e municipais.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SIMI - Sistema de Investigação da Mortalidade Infantil do Estado do Paraná facilitador da análise dos dados de mortalidade infantil pelos CEPMI onde cerca de 1.500 óbitos são sistematicamente coletados e analisados por ano, com base em informações constantes no SINASC, no SIM, entrevistas domiciliares e nas análises realizadas.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KDD - é um processo composto pela seleção de dados, pré-processamento, transformação dos dados e estabelecimento de padrões úteis na extração de conhecimento, traduzindo dados brutos em informações relevantes.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MD/DM – Mineração de dados ou data mining é uma das etapas do processo de KDD é o Data Mining (DM), mineração de dados propriamente dita, que consiste da interpretação de padrões e da geração de conhecimento após a análise dos resultados obtidos. Permite, por exemplo, examinar as relações de similaridade entre as informações. É uma área emergente dentro da inteligência computacional usada na análise de grandes bancos de dados, com a geração de padrões e a extração de informações dessas bases.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CID-10 - Classificação Estatística Internacional de Doenças e Problemas Relacionados com a Saúde, publicada pela OMS, usada globalmente para estatísticas de morbilidade e de mortalidade, encontra-se na versão 10, fornece códigos relativos à classificação de doenças e de uma grande variedade de sinais, sintomas, aspectos anormais, queixas, circunstâncias sociais e causas externas para ferimentos ou doenças. A cada estado de saúde é atribuída uma categoria única à qual corresponde um código, que contém até 6 caracteres. Tais categorias podem incluir um conjunto de doenças semelhantes. Atualmente possui 22 capítulos e categorias, que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variam em número segundo o capítulo e subcategorias ou classes, exemplo: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Capítulo XV: Gravidez, parto e puerpério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(O00-O08) Gravidez que termina em aborto</w:t>
            </w:r>
          </w:p>
          <w:p>
            <w:pPr>
              <w:pStyle w:val="TableContents"/>
              <w:numPr>
                <w:ilvl w:val="1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(O00) Gravidez ectópica</w:t>
            </w:r>
          </w:p>
          <w:p>
            <w:pPr>
              <w:pStyle w:val="TableContents"/>
              <w:numPr>
                <w:ilvl w:val="2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(O00.0) Gravidez abdominal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WEKA – Pacote de software de código-fonte livre que agrega diferentes algoritmos de aprendizagem de máquina.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J48 C.45 – Implementação em linguagem Java do algoritmo C.45 no pacote Weka que permita a descoberta de padrões na forma de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um classificador representado como árvore de decisão a partir da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qual podem ser lidas as regras de classificação.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APGAR - A Escala ou Índice de Apgar é um teste desenvolvido pela Dra. Virginia Apgar (1909 – 1974), médica norte-americana, que consiste na avaliação por um pediatra de 5 sinais objetivos do recém-nascido, atribuindo-se a cada um dos sinais uma pontuação de 0 a 2. O teste, aplicado duas vezes (no primeiro e no quinto minuto após o nascimento), é utilizado para avaliar o ajuste imediato do recém-nascido à vida extrauterina, sendo que os sinais avaliados são: frequência cardíaca, respiração, tônus muscular, irritabilidade reflexa e cor da pele. O somatório da pontuação (no mínimo 0 e no máximo 10) resultará no Índice de Apgar e o recém-nascido será classificado como: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sem asfixia (Apgar 8 a 10);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 asfixia leve (Apgar 5 a 7);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 asfixia moderada (Apgar 3 a 4) ou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 asfixia grave: Apgar 0 a 2.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Fatos históricos, dados e outros autores que apoiam a argumentação: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1975 - Implantação do Sistema de Informações sobre Mortalidade (SIM) no Brasil.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1990 – Início da implantação gradual do Sistema de Informações sobre Nascidos Vivos (SINASC) no Brasil.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2000 – Criação do Sistema de Investigação da Mortalidade Infantil (SIMI) no Paraná.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No Paraná, são registrados anualmente 150 mil nascidos vivos no SINASC, 2 mil óbitos infantis registrados no SIM ao ano e 1.500 óbitos infantis analisados SIMI.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Ideias centrais, proposições ou teses defendidas: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 estudo destaca três importantes iniciativas de sistemas de informação em saúde (SIS) sendo o SIM e o SINASC na esfera municipal, estadual e federal, e o SIMI por iniciativa do Estado do Paraná.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 a integração dos dados destes sistemas, no período 2000-2004 foi possível elaborar uma base de dados de óbitos infantis analisada pelo CEPMI e por meio de técnicas de mineração de dados, identificar padrões de características materno-fetais na predição da mortalidade infantil que beneficiariam a definições de políticas públicas e ações para redução da morbi-mortalidade.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Foi utilizado um programa de código-fonte aberto WEKA, que implementou algoritmo aprendizado de máquina C.45, considerado estado da arte em classificação de árvores de decisão.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Houve pré-processamento para categorização das variáveis idade e Índice de Apgar, correção de dados inconsistentes e reclassificação de códigos CID-10 após análise e recomendação de especialistas em mortalidade infantil do CEPMI.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Foram realizados experimentos de treino e predição com os atributos-meta </w:t>
            </w:r>
            <w:r>
              <w:rPr>
                <w:i/>
                <w:iCs/>
                <w:lang w:val="pt-BR"/>
              </w:rPr>
              <w:t>evitabilidade dos óbitos</w:t>
            </w:r>
            <w:r>
              <w:rPr>
                <w:i w:val="false"/>
                <w:iCs w:val="false"/>
                <w:lang w:val="pt-BR"/>
              </w:rPr>
              <w:t xml:space="preserve"> e </w:t>
            </w:r>
            <w:r>
              <w:rPr>
                <w:i/>
                <w:iCs/>
                <w:lang w:val="pt-BR"/>
              </w:rPr>
              <w:t>diferença da causa óbito</w:t>
            </w:r>
            <w:r>
              <w:rPr>
                <w:i w:val="false"/>
                <w:iCs w:val="false"/>
                <w:lang w:val="pt-BR"/>
              </w:rPr>
              <w:t xml:space="preserve"> após análises do CEPMI com o propósito de atuar na redução destes.</w:t>
            </w:r>
          </w:p>
          <w:p>
            <w:pPr>
              <w:pStyle w:val="TableContents"/>
              <w:rPr>
                <w:i w:val="false"/>
                <w:i w:val="false"/>
                <w:iCs w:val="false"/>
                <w:lang w:val="pt-BR"/>
              </w:rPr>
            </w:pPr>
            <w:r>
              <w:rPr>
                <w:i w:val="false"/>
                <w:iCs w:val="false"/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i w:val="false"/>
                <w:iCs w:val="false"/>
                <w:lang w:val="pt-BR"/>
              </w:rPr>
              <w:t xml:space="preserve">Estes experimentos resultaram em </w:t>
            </w:r>
            <w:r>
              <w:rPr>
                <w:lang w:val="pt-BR"/>
              </w:rPr>
              <w:t>4.230 regras de decisão as quais as 20 melhores foram escolhidas por um time de 22 especialistas dos CEPMIs.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A análise final confirmou estudos prévios e identicou a necessidade de estabelecer maior atenção às adolescentes, às crianças com peso ao nascer menor que 2,5 kg, parto pós-termo e filhas de mães com afecções maternas.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Ideias secundárias, proposições ou teses que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complementam o pensamento do autor: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Estudos do Ministério da Saúde (2004) e publicações como o Caderno de Saúde Pública (2006) mostram que a mortalidade infantil, em especial, na faixa etária de menores de um ano, tem sido considerada importante indicador da qualidade da saúde e das ações tomadas.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Outros artigos e publicações do mesmo autor: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VIANNA, Rossana Cristina Xavier Ferreira; TRINDADE, Carla ; Deborah Carvalho . O Data Linkage como forma de aprimorar os Sistemas de Informação de Nascidos Vivos e da Mortalidade. Revista Acadêmica, v. III, p. 211-226, 2016.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VIANNA, Rossana Cristina Xavier Ferreira; FREIRE, M. H. ; Deborah Carvalho ; MIGOTTO, M. T. . Perfil da Mortalidade Infantil nas Macrorregionais de Saúde de um Estado do Sul do Brasil, no triênio 2012-2014. Espaço para a Saúde (Online), v. 17, p. 32-40, 2016.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VIANNA, Rossana Cristina Xavier Ferreira; TRINDADE, C. ; FREIRE, M. H. ; MANSANO, N. . Sistema de Informação para a Investigação da Mortalidade Infantil no Estado do Paraná. Revista Acadêmica, v. II, p. 96-110, 2015.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Questões para discussão:</w:t>
            </w:r>
          </w:p>
        </w:tc>
        <w:tc>
          <w:tcPr>
            <w:tcW w:w="7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Para melhorar a aos menores de um ano de idade no Paraná devem ocorrer ações voltadas às adolescentes, principalmente as que já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têm outro filho; às mães com problemas na gestação; às mães com filhos de baixo peso ao nascer e pós-datismo.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Necessidade do trabalho conjunto de gineco-obstetras e gestores de saúde subsidiar melhor a assistência prestada às crianças no estado e, futuramente, utilizar integrações de bases de dados e outras ferramentas computacionais como sistemas de alertas para os usuários de prestadores de serviços de saúde à população infantil.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eastAsia="zh-CN" w:bidi="hi-IN" w:val="pt-BR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imSun" w:cs="Mang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VisitedInternetLink">
    <w:name w:val="Visited Internet Link"/>
    <w:rPr>
      <w:color w:val="80000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590/S0102-311X2010000300011" TargetMode="External"/><Relationship Id="rId3" Type="http://schemas.openxmlformats.org/officeDocument/2006/relationships/hyperlink" Target="http://lattes.cnpq.br/203024843912459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LibreOffice/5.4.4.2$Windows_X86_64 LibreOffice_project/2524958677847fb3bb44820e40380acbe820f960</Application>
  <Pages>5</Pages>
  <Words>1301</Words>
  <Characters>7388</Characters>
  <CharactersWithSpaces>8632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2018-06-18T08:58:34Z</dcterms:created>
  <dc:creator/>
  <dc:description/>
  <dc:language>en-US</dc:language>
  <cp:lastModifiedBy/>
  <dcterms:modified xsi:type="dcterms:W3CDTF">2018-07-03T14:20:45Z</dcterms:modified>
  <cp:revision>15</cp:revision>
  <dc:subject/>
  <dc:title/>
</cp:coreProperties>
</file>