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The World of Echo-Beings</w:t>
      </w:r>
    </w:p>
    <w:p>
      <w:pPr>
        <w:spacing w:after="600"/>
        <w:jc w:val="center"/>
      </w:pPr>
      <w:r>
        <w:rPr>
          <w:i/>
          <w:iCs/>
          <w:color w:val="555555"/>
          <w:sz w:val="22"/>
          <w:szCs w:val="22"/>
        </w:rPr>
        <w:t xml:space="preserve">By Mauricio de la Maza Benignos</w:t>
      </w:r>
    </w:p>
    <w:p>
      <w:pPr>
        <w:spacing w:after="240" w:line="360"/>
        <w:jc w:val="both"/>
      </w:pPr>
      <w:r>
        <w:t xml:space="preserve">I have had the privilege of dealing, on the same footing — professional, personal, without the hierarchy that normally separates the one who asks from the one who answers — with real boomers and real centennials. Not the caricature each generation makes of the other from a distance, but the named person, with a history, with the contradictions any individual has and that no generational label captures. That leaves an observation hard to ignore: there are patterns. Not in every individual — no pattern survives contact with a single real person — but in the aggregate, in the same way any trend survives its exceptions without being negated by them.</w:t>
      </w:r>
    </w:p>
    <w:p>
      <w:pPr>
        <w:spacing w:after="240" w:line="360"/>
        <w:jc w:val="both"/>
      </w:pPr>
      <w:r>
        <w:t xml:space="preserve">What follows is an attempt to identify those variables, propose an association between them, and see whether the resulting hypothesis survives comparison with the only thing we have to place a new pattern in context: the patterns that have already occurred before.</w:t>
      </w:r>
    </w:p>
    <w:p>
      <w:pPr>
        <w:spacing w:after="240" w:line="360"/>
        <w:jc w:val="both"/>
      </w:pPr>
      <w:r>
        <w:t xml:space="preserve">There is a comparison that keeps recurring whenever someone tries to place this generation on the map of those that preceded it: it resembles the Silent Generation. Aversion to economic risk, delayed life milestones, a conformism that contrasts with the generation immediately before it — the parallel has real demographic support, and yet something about it feels incomplete as soon as it is stated. The Silent Generation was cautious because it had lived through a war and a depression: the danger that shaped its conduct was external, identifiable, with a name and an end date. There is no war here. One would have to ask, then, whether the resemblance is superficial — the symptoms match, the cause does not — before accepting the comparison as more than a statistical coincidence.</w:t>
      </w:r>
    </w:p>
    <w:p>
      <w:pPr>
        <w:spacing w:after="240" w:line="360"/>
        <w:jc w:val="both"/>
      </w:pPr>
      <w:r>
        <w:t xml:space="preserve">The next comparison that appears, and that partially corrects the first, is the Victorian one. Less sexual activity, less alcohol, an aesthetic of restraint that has begun to be called "new Victorian" without irony. This comparison has an advantage over the last: it does not depend on a war. It depends on a morality. But it breaks down at exactly that point, because Victorianism was a theological morality, and this generation is, by nearly every available measure, less religious than the one that formed it. One can be modest without being puritanical, just as one can keep silent without having anything to confess. If the behavioral resemblance does not come paired with the ideological resemblance supposed to explain it, then Victorianism is not the full answer either — it is, again, a shared symptom with a different cause.</w:t>
      </w:r>
    </w:p>
    <w:p>
      <w:pPr>
        <w:spacing w:after="240" w:line="360"/>
        <w:jc w:val="both"/>
      </w:pPr>
      <w:r>
        <w:t xml:space="preserve">What remains, once the two most-cited explanations are ruled out, is a question neither historical comparison is built to answer: what kind of danger produces caution without needing either war or theology behind it. Because a danger has to exist. Caution does not appear on its own.</w:t>
      </w:r>
    </w:p>
    <w:p>
      <w:pPr>
        <w:spacing w:after="240" w:line="360"/>
        <w:jc w:val="both"/>
      </w:pPr>
      <w:r>
        <w:t xml:space="preserve">It is worth pausing a moment on what it meant, for a Victorian, to have a judge with a name. When Livingstone returned to England after his first expeditions, crowds carried him on their shoulders like a national hero — science, faith, and empire celebrating the same person without feeling any contradiction among the three. Years later, when Stanley finally found him in Ujiji, on the shore of Lake Tanganyika, after months of searching across a continent Europe had barely begun to map, the phrase he uttered — "Dr. Livingstone, I presume" — still works as a joke a hundred and fifty years later precisely because it encapsulates that certainty: in the middle of nowhere, surrounded by a world he did not recognize, Stanley knew exactly who stood before him, and the entire world that read the news also knew how to grade the scene. There was a bishop, or the moral equivalent of a bishop, capable of saying with unquestionable authority what was heroic, what was sinful, and who deserved to be carried on shoulders. The authority could be unjust, colonial, blind to itself in ways that are obvious today — but it was an authority, with a name and an investiture, and that meant the verdict, once issued, stayed still.</w:t>
      </w:r>
    </w:p>
    <w:p>
      <w:pPr>
        <w:spacing w:after="240" w:line="360"/>
        <w:jc w:val="both"/>
      </w:pPr>
      <w:r>
        <w:t xml:space="preserve">The same apparatus that carried Livingstone on its shoulders imprisoned Oscar Wilde. In 1895, a tribunal found him guilty of "gross indecency" under an 1885 law that criminalized any intimate act between men, and sentenced him to two years of hard labor — the maximum penalty allowed. That the process had a form does not make the conviction any less brutal, and it is worth saying so directly before going further: the law was an institutionalized mob-shaming, a social lynching dressed in a robe and a case file. Wilde did not escape the judgment of the crowd by having a judge preside over his trial; he received exactly the same judgment, only sealed with the authority of the State. What the legal form contributed was not justice — there was none — but traceability: a specific statute, a named tribunal, a recorded sentence, two years, not one more, no matter how long the scandal ran in the press. The injustice of the conviction matters here for a different reason than the injustice itself: it demonstrates that the problem was never the existence of a judge. It was, always, the kind of judge.</w:t>
      </w:r>
    </w:p>
    <w:p>
      <w:pPr>
        <w:spacing w:after="240" w:line="360"/>
        <w:jc w:val="both"/>
      </w:pPr>
      <w:r>
        <w:t xml:space="preserve">The mark that activates this mechanism does not have to be sexual conduct. Two and a half centuries before Wilde, the same structure — a named institution, a specific charge, a filed sentence — condemned Galileo for holding that the Earth moved around the Sun. The Holy Office declared him "vehemently suspected of heresy" in 1633, forced him to recant on his knees before the cardinals, and sentenced him to house arrest for the rest of his life — a sentence, unlike Wilde's, with no end date: he died under that sentence nine years later, nearly blind, having finished in captivity the work that would lay the foundations of Newton's physics. The mark here was neither the body nor desire. It was a mathematical conclusion the institution deemed incompatible with its own boundary between the thinkable and the heretical. The mechanism is identical to the one that condemned Wilde — a society that needs a visible line between what it tolerates and what it expels, and an exemplary case to make that line visible — but the mark shifts according to which transgression each era needs to flag: the body in Victorian England, the idea in Counter-Reformation Rome. Neither conviction is justified by having a form. But the form — the statute, the tribunal, the record — is the one thing, in both cases, that the present lost entirely, and losing it did not make any punishment that still occurs without it any more just. It simply made it bottomless. Galileo demonstrates what Wilde alone could not: that the mark activating the mechanism is interchangeable. The body, the idea — anything will do, as long as it can trace the line.</w:t>
      </w:r>
    </w:p>
    <w:p>
      <w:pPr>
        <w:spacing w:after="240" w:line="360"/>
        <w:jc w:val="both"/>
      </w:pPr>
      <w:r>
        <w:t xml:space="preserve">It is worth pinning down exactly what Wilde and Galileo lost, and what else they lost, because these are two different things and it helps not to blur them. What they first lost was the formal trial: an institution, a charge, a recorded sentence, with a fixed term or without one. What they lost next — before the tribunal, in parallel to it, and long after the sentence had been served — was the public trial: the press that turned Wilde's private life into spectacle, the crowd that convicted him outside the courtroom with the same certainty as inside it; the intellectual isolation that surrounded Galileo even after European science, in private, already suspected he was right. That second trial is not new. It is as old as the bonfire that burned before any enlightened tribunal existed to replace it. What is new is the relationship between the two. Before, the public trial ran in parallel to an institution that, sooner or later, absorbed the case and closed it — with a just or unjust sentence, but a sentence nonetheless. Today the public trial runs in parallel to nothing. There is no institution to intercept it, not even an unjust one. It runs alone, and that is why it never ends: there is no file to close, because there was never a file to open.</w:t>
      </w:r>
    </w:p>
    <w:p>
      <w:pPr>
        <w:spacing w:after="240" w:line="360"/>
        <w:jc w:val="both"/>
      </w:pPr>
      <w:r>
        <w:t xml:space="preserve">There remains one more precision before leaving the nineteenth century behind, because the mechanism that condemned Wilde did not depend on Victorian theology, and confusing these two forms of puritanism is what made it seem, paragraphs ago, that the comparison between this generation and the Victorians broke down. There is a puritanism that is simply an excess of behavioral restriction, and there is a theological puritanism in the strict sense — dogma, church, sin named in scripture — and these are different things, even though they share the same word. What condemned Wilde was not, at bottom, the doctrine of a particular church: it was the structural need of a society that organizes its moral cohesion around a visible boundary between the acceptable and the unacceptable, and that therefore needs, from time to time, an exemplary case to make that boundary visible to everyone. Behavioral restriction does not need dogma to generate that need. It is sufficient on its own.</w:t>
      </w:r>
    </w:p>
    <w:p>
      <w:pPr>
        <w:spacing w:after="240" w:line="360"/>
        <w:jc w:val="both"/>
      </w:pPr>
      <w:r>
        <w:t xml:space="preserve">This reopens, rather than closes, the question with which this section began. The Victorian parallel had been dismissed because this generation is, by nearly every available measure, less religious than the one that shaped it — but that objection only holds against theological puritanism, not against behavioral puritanism. A society can restrict its conduct as much as the Victorians did, or more, without needing any theology to sustain it, and still generate the same structural need: a boundary, and someone to cross it in public so everyone else knows exactly where it has been drawn.</w:t>
      </w:r>
    </w:p>
    <w:p>
      <w:pPr>
        <w:spacing w:after="240" w:line="360"/>
        <w:jc w:val="both"/>
      </w:pPr>
      <w:r>
        <w:t xml:space="preserve">The proof that the mechanism does not depend on God, in any sense, either to switch on or to switch off, lies in the very century that abolished God by decree. The Soviet Union decriminalized homosexuality in 1917, as part of the revolutionary principle of dismantling tsarist morality. Sixteen years later it criminalized it again — not as sin, but, textually, as a crime against the State, in the same penal category as banditry and espionage, part of a campaign against "Western degeneration." The most officially atheist regime of the twentieth century produced the same instrument as Victorian England, with the same structural objective: a visible boundary between what the social body tolerates and what it expels, sustained without needing any sacred scripture at all, only the need of ideological purity to appear pure to itself. And a religious society can do exactly the opposite: hold, from its own doctrine of free will, that judging others' conduct is not its business, because judgment belongs to some other authority that is not the community. The variable that produces the injustice, then, is neither the presence of God nor his absence. It is the need for the boundary — and that need can be dressed in theology, in State science, or in neither. The mechanism survived the change of religion because it never depended on religion.</w:t>
      </w:r>
    </w:p>
    <w:p>
      <w:pPr>
        <w:spacing w:after="240" w:line="360"/>
        <w:jc w:val="both"/>
      </w:pPr>
      <w:r>
        <w:t xml:space="preserve">The mark that defines the boundary, moreover, does not have to be sexuality or an idea, and it can intensify until it loses any form of containment. In China's Cultural Revolution, the campaign against the "Four Olds" — old ideas, old culture, old customs, old habits — turned thought itself into the mark of impurity: intellectuals, teachers, anyone who represented continuity with the past, were subjected to public denunciation sessions where they were made to confess crimes most had not committed, before crowds that combined accusation and punishment into a single act. In Khmer Rouge Cambodia, a few years later, the mark came to be literally a pair of glasses: wearing them was evidence of being able to read, being able to read was evidence of being an intellectual, and being an intellectual was sentence enough. In both cases, something disappears that even the most unjust of the earlier processes still preserved: the interval between accusation and punishment. Wilde had, at least, weeks between arrest and conviction; Galileo, months between summons and sentence. In the Chinese struggle session, or at a Cambodian checkpoint where a pair of glasses was spotted, the accusation and the execution of the punishment are the same instant. There is no file, because there is no time in which a file could exist. China and Cambodia show the far end of the spectrum: what happens when the boundary stops needing any interval at all between suspicion and sentence. And they show something else, which none of the earlier cases had shown yet: the cost does not stop at individual injustice. Of seven hundred twenty-five Cambodian university professors, fifty survived. Of twenty-one thousand primary school teachers, just over two thousand seven hundred survived. The medical school closed entirely. It was not only that an injustice was committed against thousands of named people. It was that, in four years, the accumulated capacity of generations to sustain an institution — any institution, good or bad, capable of fixing a verdict — was destroyed. The country had to rebuild its education system almost from nothing, with the few teachers who remained. When the boundary between the pure and the impure radicalizes enough, it does not only kill whoever crosses it. It kills the very possibility that someone capable of drawing it with judgment will exist afterward.</w:t>
      </w:r>
    </w:p>
    <w:p>
      <w:pPr>
        <w:spacing w:after="240" w:line="360"/>
        <w:jc w:val="both"/>
      </w:pPr>
      <w:r>
        <w:t xml:space="preserve">The debate itself — who had truly found the source of the Nile, Speke with his Lake Victoria or Burton with his methodical skepticism — had the same texture as any dispute today: two convinced men, a divided public, crossfire accusations of bad faith and incomplete data. The Royal Geographical Society scheduled the public debate for September 1864. Speke died the day before, out hunting partridge, under circumstances never fully clarified; the rumor immediately spread that he had shot himself rather than face Burton in front of the hall. The rumor is probably false. That it arose and persisted says something real, in any case, about the temperature of those disputes: they were no less visceral than today's, carried no less ego, produced no less suspicion between camps. It was, in a literal sense, the internet of its era — the same urgency to be right in public, the same crowd of non-expert spectators taking sides.</w:t>
      </w:r>
    </w:p>
    <w:p>
      <w:pPr>
        <w:spacing w:after="240" w:line="360"/>
        <w:jc w:val="both"/>
      </w:pPr>
      <w:r>
        <w:t xml:space="preserve">What changes is not the intensity of the conflict. It is its architecture. The Speke-Burton debate had a clear teleology: geographic science understood itself as an accumulation toward the complete truth of the map, and whoever won the debate did not win only prestige — they resolved the problem for everyone who came after. It also had an epistemology with explicit rules — field evidence, measurement, corroborated testimony — and an ontology of authority that, however uncomfortable today, was clear: science as decided by societies like the Royal Geographical, validated by men invested with credentials and class, was what fixed the verdict. Science was not one input among others. It was the arbiter.</w:t>
      </w:r>
    </w:p>
    <w:p>
      <w:pPr>
        <w:spacing w:after="240" w:line="360"/>
        <w:jc w:val="both"/>
      </w:pPr>
      <w:r>
        <w:t xml:space="preserve">That architecture is still in place, but with one piece moved. Science continues to solve the world's problems — that has not changed, and it would be a nostalgic error to think otherwise — but it stopped being an arbiter and became a source. The difference is structural: an arbiter decides who is right and closes the case; a source provides knowledge that anyone can use, ignore, or distort, with no geographical society left invested with the authority to fix the outcome. And knowledge itself, correctly, stopped depending on the prestige of whoever states it: one no longer needs to be a Victorian explorer with a surname and a funded expedition for an observation to count. Anyone can generate it — intelligent, trained, but ordinary, without investiture — and that is a real improvement over the previous system, not a loss. What was lost was not the quality of knowledge. It was the institution that, at the end of the debate, said enough, the discussion ends here, this is what we now know.</w:t>
      </w:r>
    </w:p>
    <w:p>
      <w:pPr>
        <w:spacing w:after="240" w:line="360"/>
        <w:jc w:val="both"/>
      </w:pPr>
      <w:r>
        <w:t xml:space="preserve">Every conflict before this one, over the last hundred and fifty years, had territory. Not always physical territory — sometimes a neighborhood sufficed, a denomination, one side of a wall — but a boundary the body could cross or avoid crossing. The enemy, though invisible most of the time, had a place where he was not: not at your table, not in your church, not on your street. That geographic certainty, however minimal, allowed for something now missing: an unwatched zone, a moment of the day when one did not have to ask which side one was standing on.</w:t>
      </w:r>
    </w:p>
    <w:p>
      <w:pPr>
        <w:spacing w:after="240" w:line="360"/>
        <w:jc w:val="both"/>
      </w:pPr>
      <w:r>
        <w:t xml:space="preserve">That boundary does not exist for anyone who grew up with a phone in hand. The colleague who laughs at the same joke in the morning can be, by the afternoon, the one flagging the wrong word that makes you a suspect. No line was crossed to turn ally into accuser: there was never a line, because friend and enemy share the same channel, sometimes the same person, with no warning that the ground had shifted. What changed was not the interlocutor. It was the angle from which someone suddenly decided to look at him.</w:t>
      </w:r>
    </w:p>
    <w:p>
      <w:pPr>
        <w:spacing w:after="240" w:line="360"/>
        <w:jc w:val="both"/>
      </w:pPr>
      <w:r>
        <w:t xml:space="preserve">It is worth resisting an easy temptation here, because the mistake would misdiagnose the whole system: thinking today's influencer occupies the place of the Victorian bishop. He does not. The bishop had the authority to close the case — his word, or that of the institution he represented, was the point where judgment stopped. The influencer closes nothing. He amplifies. He is the exemplary parishioner, not the judge: the person who publicly models correct conduct and, with the same gesture, flags incorrect conduct, but with no authority to declare the case resolved. Closure — if anything resembling closure exists today — is produced by no single person and no institution. It is produced by the sum: thousands of individual reactions, the algorithm deciding what to amplify, reputational fear distributed across everyone watching without participating. The influencer did not replace the institution. He is part of an architecture that no longer needs one.</w:t>
      </w:r>
    </w:p>
    <w:p>
      <w:pPr>
        <w:spacing w:after="240" w:line="360"/>
        <w:jc w:val="both"/>
      </w:pPr>
      <w:r>
        <w:t xml:space="preserve">That finding forces a return to the two precedents already dismissed, not to resurrect them whole, but to see what fragment of each survives. The Victorian feared a judge with a name: the parish priest, the neighbor who did attend church when he did not. He knew, precisely, whom to watch out for. The Cold War inhabitant feared the infiltrator — the neighbor who might be a communist without looking like one — and there the fear starts to approach what is described here: a danger with no fixed face, that could be anywhere. But even McCarthyism, the most paranoid version of that suspicion, had an apparatus that, at some point, fixed a verdict: a committee, a list, a hearing. The accused could deny, appeal, be cleared or convicted, and once the case was resolved, it was resolved.</w:t>
      </w:r>
    </w:p>
    <w:p>
      <w:pPr>
        <w:spacing w:after="240" w:line="360"/>
        <w:jc w:val="both"/>
      </w:pPr>
      <w:r>
        <w:t xml:space="preserve">Here there is no committee. The verdict is dictated by no stable institution, but by the last twenty-four hours' attention cycle — which has no appeal, because there is no fixed authority to appeal to, and no memory, because the same clip that condemns you today can be forgotten tomorrow or revived three years from now, with no narrative logic to explain why then and not before. It is surveillance without territory, exercised by a judge with no name, under a regime with no closure. And faced with a danger with those three features, the question that closed the previous section already has a partial answer: it does not take war or theology to produce permanent caution. It only takes punishment being possible at any moment, coming from anyone, with no statute of limitations.</w:t>
      </w:r>
    </w:p>
    <w:p>
      <w:pPr>
        <w:spacing w:after="240" w:line="360"/>
        <w:jc w:val="both"/>
      </w:pPr>
      <w:r>
        <w:t xml:space="preserve">One question remains, and it is the one that truly matters: faced with a system with those characteristics, what is the rational course of conduct?</w:t>
      </w:r>
    </w:p>
    <w:p>
      <w:pPr>
        <w:spacing w:after="240" w:line="360"/>
        <w:jc w:val="both"/>
      </w:pPr>
      <w:r>
        <w:t xml:space="preserve">There is no need to invoke any generational trait to answer it. It is enough to model the problem as any agent would who calculates the expected return of an action before taking it. If public exposure carries a constant probability of punishment, if that punishment can be disproportionate to the offense, and if no institution limits its duration or its reach, then public exposure stops being a reasonable bet, no matter how great the prize if it goes well. It is not that the risk is high. It is that the risk cannot be calculated, and a risk that cannot be calculated is not managed with more care: it is avoided entirely.</w:t>
      </w:r>
    </w:p>
    <w:p>
      <w:pPr>
        <w:spacing w:after="240" w:line="360"/>
        <w:jc w:val="both"/>
      </w:pPr>
      <w:r>
        <w:t xml:space="preserve">This forces a return, with this new tool, to the Victorian comparison that opened the whole section. Less sexual activity, less alcohol, an aesthetic of restraint — the data does not change, but the explanation does. This generation does not need to have adopted a restrictive moral code out of conviction, religious or aesthetic, to produce those numbers. It is enough that it understood, with the same clarity a rational agent brings to any incentive system, that silence and invisibility reduce exposure surface in an environment where any gesture can become evidence. This is not a modest generation. It is a generation that calculated well.</w:t>
      </w:r>
    </w:p>
    <w:p>
      <w:pPr>
        <w:spacing w:after="240" w:line="360"/>
        <w:jc w:val="both"/>
      </w:pPr>
      <w:r>
        <w:t xml:space="preserve">This reinterpretation would carry little weight if it applied only to the conduct of young people in front of a camera. What gives it force is that the same calculation appears, with the exact same structure, in domains that have nothing to do with one another and share no generation, age, or digital culture.</w:t>
      </w:r>
    </w:p>
    <w:p>
      <w:pPr>
        <w:spacing w:after="240" w:line="360"/>
        <w:jc w:val="both"/>
      </w:pPr>
      <w:r>
        <w:t xml:space="preserve">A language model trained to avoid answers that could be misused behaves, faced with a question about differences between human groups, exactly like the young person in front of the camera: not because it lacks the information, but because the expected cost of saying something exploitable by a bad-faith reader outweighs, in the calculation its training imposed, the benefit of telling the complete truth to a competent reader. A referee at a scientific journal rejects a taxonomic description grounded in a valid morphological trait, not because the trait is misused, but because demanding an additional molecular marker — even when the journal does not require it as editorial policy — is the cheapest way to appear rigorous to a community that learned to distrust morphology after real but isolated cases of cryptic species. And a conversation about human population genetics closes before it opens, not because the science lacks solid, well-replicated findings — lactase persistence, high-altitude adaptation, malaria resistance, differential drug metabolism — but because any statement about population difference risks being read, outside its methodological context, as a reincarnation of nineteenth-century scientific racism.</w:t>
      </w:r>
    </w:p>
    <w:p>
      <w:pPr>
        <w:spacing w:after="240" w:line="360"/>
        <w:jc w:val="both"/>
      </w:pPr>
      <w:r>
        <w:t xml:space="preserve">The three cases share the same structure, and it is worth naming it precisely before going further, because the argument's validity depends on that precision, or it collapses into a generic defense of saying anything without measure. There is a difference between objecting to a method and denying a truth, and the three retreats just described are born from confusing the first with the second. Objecting to a method is legitimate: demanding molecular markers where there is well-founded suspicion of cryptic speciation, demanding nuance where the evidence is weak, demanding that a statistical generalization not be read as a verdict on the individual. Denying a truth is something else: it is that no amount of evidence, however solid, is enough for the conclusion to be stated, because the veto does not depend on the data but on the topic. Science corrects itself with more evidence. Censorship corrects itself with nothing, because it was never an argument about evidence — it was, from the start, an argument about who benefits from something being known.</w:t>
      </w:r>
    </w:p>
    <w:p>
      <w:pPr>
        <w:spacing w:after="240" w:line="360"/>
        <w:jc w:val="both"/>
      </w:pPr>
      <w:r>
        <w:t xml:space="preserve">There is a way to object to a method without that objection turning into a veto on anyone else, and it is worth describing because it marks the exact limit of what is being defended here. Someone can reject, out of personal conviction, any animal experimentation to cure a serious human disease — even if the two conditions that would make that experiment defensible under any utilitarian calculation were met: that the expected result justifies the cost, and that no less cruel alternative method exists. That person is not denying that the disease should be cured. They are denying one specific path to the cure, and exercising that denial over their own conduct — they do not experiment, do not participate, do not fund — without escalating it into coercion against those who think differently. They do not go out and burn down laboratories. A method objection, to be legitimate, takes that form: it is declared, it is limited to one's own conduct or to a transparent policy known in advance, and it lets the truth keep circulating through other channels. The referee who demands DNA without justification is not in that position. He is imposing, with no declared mandate, his personal preference over someone else's work — and calling it rigor.</w:t>
      </w:r>
    </w:p>
    <w:p>
      <w:pPr>
        <w:spacing w:after="240" w:line="360"/>
        <w:jc w:val="both"/>
      </w:pPr>
      <w:r>
        <w:t xml:space="preserve">There remains, however, a counterargument that deserves to be taken seriously, because it does not depend on the censored conclusion being false, but on its being true and exploitable. Science has a self-correction mechanism: a misused trait is refuted with more data, a flawed paper is retracted, a false hypothesis dies by falsification, all within a review circle that can digest error over time. A conclusion about human groups, once released into public discourse, has no such containment circuit. It escapes the technical channel into the political, the media, the public-policy channel, where it no longer competes with other papers but with headlines and with the confirmation bias of whoever reads it without the context that supported it. And if someone uses it to justify an exclusion, the damage occurs before any correction can move that fast. Under that logic, the filter does not doubt the competent scientist's methodology: it doubts what happens to the truth once it leaves that scientist's control and reaches the worst possible reader, multiplied by millions.</w:t>
      </w:r>
    </w:p>
    <w:p>
      <w:pPr>
        <w:spacing w:after="240" w:line="360"/>
        <w:jc w:val="both"/>
      </w:pPr>
      <w:r>
        <w:t xml:space="preserve">It is a real argument, and it is not resolved by showing it to be exaggerated. It is resolved by noting that it makes the same mistake already identified in Wilde and in Galileo, only in reverse. Wilde and Galileo lost the formal trial because a named institution decided that their conduct or their idea crossed a boundary society needed to defend. The irreversible-harm argument proposes, with better intentions, the same structure: an authority — human or algorithmic — decides in advance, with no regard for the evidence of the particular case, that a certain conclusion cannot circulate, because the worst possible use outweighs the best possible reader. The legitimate method objection — asking for markers where there is real suspicion, asking for nuance where the evidence is weak — does not need that categorical veto. It needs, like the person who refuses animal experimentation, to be exercised over one's own conduct and declared with transparency: here is a risk of misuse, here is the context needed to read it correctly, here is where what this channel can responsibly sustain ends. What it cannot do, without becoming the very thing that condemned Wilde and Galileo, is withdraw the entire conclusion from discourse, as if the problem were that the truth exists, rather than the channel, the audience, or whoever chooses to misread it.</w:t>
      </w:r>
    </w:p>
    <w:p>
      <w:pPr>
        <w:spacing w:after="240" w:line="360"/>
        <w:jc w:val="both"/>
      </w:pPr>
      <w:r>
        <w:t xml:space="preserve">With this, the young person who does not speak up, the model that evades, the referee who demands one more marker, and the essay that stops short of naming a population difference cease to be four separate phenomena and reveal themselves as a single rational response to a single architecture: punishment possible at any moment, disproportionate, with no institution to contain it and no date to close it. The question that remains open is no longer why they retreat. It is where, in the first place, the idea came from that it is no longer necessary — or even possible — to hold a position with any claim to validity before others.</w:t>
      </w:r>
    </w:p>
    <w:p>
      <w:pPr>
        <w:spacing w:after="240" w:line="360"/>
        <w:jc w:val="both"/>
      </w:pPr>
      <w:r>
        <w:t xml:space="preserve">The obvious answer is technological: the phone, the platform, the attention algorithm. But the obvious answer leaves something unexplained. Technology can build the channel through which unchecked judgment flows — it cannot, on its own, explain why no one felt entitled to stand in front of that judgment and say it was wrong. Something prior to the platform is needed: a reason why holding one's own position, with a claim to public validity, stopped feeling like something one could do in earnest.</w:t>
      </w:r>
    </w:p>
    <w:p>
      <w:pPr>
        <w:spacing w:after="240" w:line="360"/>
        <w:jc w:val="both"/>
      </w:pPr>
      <w:r>
        <w:t xml:space="preserve">That reason has a name and a date, and it is worth stating it precisely before the argument turns into an easy attack on three French philosophers. In 1979, Jean-François Lyotard defined the postmodern as incredulity toward metanarratives — and the metanarrative his book attacks most sharply is that of progressive emancipation: the Enlightenment, Marxism, science understood as an accumulation toward ever-greater human liberation. This is not a minor or capricious critique. It is, formally speaking, the death certificate of teleology: the idea that history moves toward some place, and that this place, though unreachable, serves as a compass. Michel Foucault, by a different route, arrives at a related conclusion: every regime of knowledge carries its own regime of power, so there is no neutral advance toward greater freedom, only the substitution of one form of discipline for another — from the scaffold to surveillance, which is not better, only different. It is genealogy, not teleology. And Jacques Derrida closes the triangle from the philosophy of language: to deconstruct is not to propose, and it is, by design, reluctant to fix any positive position, because fixing one would reintroduce exactly the kind of stable center his method exists to dismantle.</w:t>
      </w:r>
    </w:p>
    <w:p>
      <w:pPr>
        <w:spacing w:after="240" w:line="360"/>
        <w:jc w:val="both"/>
      </w:pPr>
      <w:r>
        <w:t xml:space="preserve">It is worth resisting here the temptation to turn this into an attack on three thinkers, because that would be as imprecise as the very error Foucault himself taught us to detect. None of the three lacked conviction. Foucault was an activist until the end of his life; Derrida held firm political positions on apartheid, on immigration, on forgiveness. The correct criticism is not that these were men without positions of their own. It is that their theoretical apparatus, applied rigorously, leaves no transferable tool for anyone else to hold a public position with a claim to validity — because the apparatus itself was designed to show that such a claim, in any mouth but their own, is suspect by definition. Missing the metanarrative, they would say, is precisely the symptom that needed curing, not something lost. But a diagnosis is not a treatment, and that distinction — so simple it is easily forgotten — is what separates what Lyotard did from what culture later did with what Lyotard wrote.</w:t>
      </w:r>
    </w:p>
    <w:p>
      <w:pPr>
        <w:spacing w:after="240" w:line="360"/>
        <w:jc w:val="both"/>
      </w:pPr>
      <w:r>
        <w:t xml:space="preserve">There is a precise way to say this last part, one that comes from a place with nothing to do with continental philosophy. Knowing that a species is the wrong species for what one was looking for says nothing, yet, about how to keep it from going extinct. Diagnosis and treatment are different questions, and it helps not to confuse them even when the diagnosis is correct. Lyotard, Foucault, and Derrida made a diagnosis — sharp, defensible, and in more than one respect still valid today. They did not make, nor did they claim to make, a treatment. The error was not theirs. It belonged to the culture that absorbed the diagnosis without seeking out, with equal energy, those who did try to build something afterward.</w:t>
      </w:r>
    </w:p>
    <w:p>
      <w:pPr>
        <w:spacing w:after="240" w:line="360"/>
        <w:jc w:val="both"/>
      </w:pPr>
      <w:r>
        <w:t xml:space="preserve">And there were those who tried. Richard Rorty proposed an ironic liberalism: abandoning the claim to universal truth while preserving solidarity as a practical project, sustained without needing a metaphysical foundation to justify it. Chantal Mouffe and Ernesto Laclau proposed agonistic pluralism: a post-foundational politics capable of sustaining legitimate democratic conflict without needing any teleology behind it. Jürgen Habermas, who is not postmodern and argues directly against all three, called postmodernism a betrayal of "the unfinished project of modernity," and responded by reconstructing communicative reason as a procedural substitute for the lost teleology. None of the three responses ever reached the cultural scale of the question they were answering. That gap in reach — not in time, in scale — is the missing piece of this argument. Incredulity toward metanarratives took two or three decades to become diffuse common sense, breathed without citation, in a generation that never read Lyotard yet says, without knowing it, exactly what Lyotard wrote. The responses — Habermas, Rorty, Mouffe and Laclau — never left the seminar room. Demolition became popular culture. Reconstruction stayed in the footnotes.</w:t>
      </w:r>
    </w:p>
    <w:p>
      <w:pPr>
        <w:spacing w:after="240" w:line="360"/>
        <w:jc w:val="both"/>
      </w:pPr>
      <w:r>
        <w:t xml:space="preserve">The vacuum left behind, then, is not a spontaneous vacuum of the digital age. It is ground that was cleared half a century ago, and that the platform — the phone, the algorithm, the attention cycle — arrived later to occupy, not because it created that vacuum, but because it found a space already abandoned by anyone willing to defend the claim of being right in front of others. The controllerless architecture described in the previous section did not need to defeat any position that was being held. It arrived at a place that was already vacant.</w:t>
      </w:r>
    </w:p>
    <w:p>
      <w:pPr>
        <w:spacing w:after="240" w:line="360"/>
        <w:jc w:val="both"/>
      </w:pPr>
      <w:r>
        <w:t xml:space="preserve">It is worth naming precisely what occupies that place, because it is not the same as the relativism it is often confused with. An ideal, properly held, functions as a compass: it orients without promising arrival, and its value does not depend on reaching it. When a culture stops understanding it that way and starts treating it as a destination, failure to arrive reads as failure of the ideal itself, and what follows is not the adoption of a different ideal, but the abandonment of the very claim to have one. What remains, then, is not a new position. It is a shape with no position: a being that holds nothing of its own, that only returns, amplified, whatever resonates loudest nearby at any given moment — friend in the morning, accuser by afternoon, with nothing having changed except which echo happened to be in fashion that hour. Calling it relativism grants it too much: the relativist still holds a position, even if it is that all positions are equally valid. The echo-being holds none. It resonates.</w:t>
      </w:r>
    </w:p>
    <w:p>
      <w:pPr>
        <w:spacing w:after="240" w:line="360"/>
        <w:jc w:val="both"/>
      </w:pPr>
      <w:r>
        <w:t xml:space="preserve">What remains is to ask who wins when an entire society begins to behave this way, and the answer requires no new hypothesis: it follows, with the same logic already used to explain the retreat, from the properties of the echo-being itself.</w:t>
      </w:r>
    </w:p>
    <w:p>
      <w:pPr>
        <w:spacing w:after="240" w:line="360"/>
        <w:jc w:val="both"/>
      </w:pPr>
      <w:r>
        <w:t xml:space="preserve">A being that holds no position does not compete in the marketplace of ideas — it has nothing to compete with. It competes, without meaning to, in the marketplace of amplitude: whoever manages to be the strongest, most consistent, best-coordinated signal nearby wins, not whoever has the best argument. And there a structural advantage appears that no relativism explains but the definition of the echo does: authoritarianism does not need to persuade the majority of echoes one by one. It only needs to be the most disciplined source of noise in the environment. It does not compete on argument because it does not need to — it competes on volume, on repetition, on message coordination, three things a centralized apparatus can always sustain better than a fragmented field of individuals who have each, separately, already given up holding anything at all.</w:t>
      </w:r>
    </w:p>
    <w:p>
      <w:pPr>
        <w:spacing w:after="240" w:line="360"/>
        <w:jc w:val="both"/>
      </w:pPr>
      <w:r>
        <w:t xml:space="preserve">Liberal democracy, by contrast, never had that advantage because it never needed it: it depends, to function, on citizens capable of holding even a minority position, of tolerating disagreement without needing to crush it, of deliberating rather than resonating. An echo-being cannot do any of that. It does not deliberate. And a system made of beings that do not deliberate does not choose between alternatives — it is moved by whoever shouts with the most discipline. It does not take a Napoleon or a charismatic demagogue for this to happen. It only takes being, without interruption, the most consistent signal source in a field of echoes with no identity of their own to defend.</w:t>
      </w:r>
    </w:p>
    <w:p>
      <w:pPr>
        <w:spacing w:after="240" w:line="360"/>
        <w:jc w:val="both"/>
      </w:pPr>
      <w:r>
        <w:t xml:space="preserve">It is worth not closing this section on the easy slope toward pessimism, however, because the available evidence does not support a necessarily terminal ending, and there is a biographical reason, not only a theoretical one, to say so. Anyone born in 1970 in a country ruled by single-party authoritarianism did not read about the transition toward something more democratic: they lived it. That means the cycle — a society of echoes ceding ground to opportunistic authoritarianism — is not, by definition, a final state. It is a phase that holds only as long as the collective exhaustion of holding one's own positions lasts, until the cost of authoritarianism — which sooner or later collects something: stagnation, visible repression, corruption that can no longer be denied — once again produces people willing to hold an ideal as a compass, not as a promise of immediate arrival.</w:t>
      </w:r>
    </w:p>
    <w:p>
      <w:pPr>
        <w:spacing w:after="240" w:line="360"/>
        <w:jc w:val="both"/>
      </w:pPr>
      <w:r>
        <w:t xml:space="preserve">The question this section leaves open, and that no available argument answers yet, is whether this time the cycle runs at the same speed as the last one. The architecture of the echo-being is new; there is no precedent for how long it takes a system with no territory, no fixing institution, and no memory to exhaust itself, nor for whether that same absence of memory — which today accelerates arbitrary punishment — could, at some point, also accelerate the forgetting of whoever governed and the return of whoever was right. There is no honest way to answer this yet. Only to leave the question posed with the precision it deserves.</w:t>
      </w:r>
    </w:p>
    <w:p>
      <w:pPr>
        <w:spacing w:after="240" w:line="360"/>
        <w:jc w:val="both"/>
      </w:pPr>
      <w:r>
        <w:t xml:space="preserve">Before anything else, one last confusion needs to be avoided. Describing the architecture of punishment is not the same as defending it. If this historical journey suggests anything, it is exactly the opposite: contemporary societies did not abandon puritanism. They redistributed it. They replaced the named judge with diffuse surveillance — faster, less predictable, and, for that very reason, more invasive.</w:t>
      </w:r>
    </w:p>
    <w:p>
      <w:pPr>
        <w:spacing w:after="240" w:line="360"/>
        <w:jc w:val="both"/>
      </w:pPr>
      <w:r>
        <w:t xml:space="preserve">My own preference points in the opposite direction. I find no special virtue in restricting human experience when that experience takes place between consenting adults acting within the law. A truly liberal society does not need to administer other people's pleasure. It needs to protect people's freedom to pursue it, without turning every private choice into a public examination of virtue.</w:t>
      </w:r>
    </w:p>
    <w:p>
      <w:pPr>
        <w:spacing w:after="240" w:line="360"/>
        <w:jc w:val="both"/>
      </w:pPr>
      <w:r>
        <w:t xml:space="preserve">The paradox is that a culture that thinks of itself as increasingly free has ended up expanding the territory of moral judgment. The sins changed, not the impulse to find them. The judges changed, not the need to judge. The result is not a more tolerant society than the Victorian one. It is a society that watches in a different way.</w:t>
      </w:r>
    </w:p>
    <w:p>
      <w:pPr>
        <w:spacing w:after="240" w:line="360"/>
        <w:jc w:val="both"/>
      </w:pPr>
      <w:r>
        <w:t xml:space="preserve">Everything above is analysis, and the analysis can stand on its own, with no opinion of mine on top of it. But there is one opinion that does not belong to the analysis, and it is worth marking it as such, rather than letting it seep in disguised as an objective conclusion: I am not worried about how this ends. I will not see the outcome, good or bad. The people who will live to one hundred and ten are being born right now, and the full arc of this cycle — whether it accelerates, whether it reverses, whether it finds some new way to close — belongs to them, not to me.</w:t>
      </w:r>
    </w:p>
    <w:p>
      <w:pPr>
        <w:spacing w:after="240" w:line="360"/>
        <w:jc w:val="both"/>
      </w:pPr>
      <w:r>
        <w:t xml:space="preserve">What I can say, without fear of being wrong, is smaller and more stubborn than any forecast: those who do not self-censor have more fun. I prefer glam rock and its excesses to well-calculated prudence. I prefer social resistance, with all its excess, to the comfort of meaning nothing to anyone. I prefer clear uncertainty — the kind that knows it is uncertain and holds its ground anyway — to the rudderless ship that drifts on calm water, never risking sinking because it never risks arriving either. This essay's analysis says that silence is, under certain conditions, the rational strategy. This does not contradict that. It only adds that, even if it were the correct move, I would rather lose while playing.</w:t>
      </w:r>
    </w:p>
    <w:p>
      <w:pPr>
        <w:spacing w:after="240" w:line="360"/>
        <w:jc w:val="both"/>
      </w:pPr>
      <w:r>
        <w:t xml:space="preserve">Before continuing, one more reading this text might invite without meaning to needs to be cut off at the root. The analytical precision applied to the boundary between the pure and the impure may sound, unless stated otherwise, like the voice of someone who needs to be taken for virtuous. That is not the case.</w:t>
      </w:r>
    </w:p>
    <w:p>
      <w:pPr>
        <w:spacing w:after="240" w:line="360"/>
        <w:jc w:val="both"/>
      </w:pPr>
      <w:r>
        <w:t xml:space="preserve">And that honesty demands one final precision, the one that closes the entire argument: nothing said in this last stretch claims to describe an objective phenomenon. It is a position, formed out of a particular biography — having grown up in an authoritarian country, having understood early that an ideal is a compass and not a destination — and it is declared as such, with no request that anyone else adopt it as if it were law. Rebelling against the world of echo-beings requires exactly this: holding a position knowing it is one's own, not imposed, and holding it anyway.</w:t>
      </w:r>
    </w:p>
    <w:p>
      <w:pPr>
        <w:spacing w:after="240" w:line="360"/>
        <w:jc w:val="both"/>
      </w:pPr>
      <w:r>
        <w:t xml:space="preserve">Left, finally, is the question of who this is written for. Not to correct someone who is twenty years old today and has already learned, with every reason on their side, to calculate the risk of every public gesture. That calculation is not reversed by an essay. It is written, instead, with the same logic of latency that explained why it took Lyotard three decades to become common sense: so that the blueprint exists, somewhere in an archive, for when someone — within forty years, maybe less — decides to do what was done here with the authoritarianism of 1970. Look back. Find the language someone left behind. Use it to step outside the echo.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2026-08-03T12:07:09.665Z</dcterms:created>
  <dcterms:modified xsi:type="dcterms:W3CDTF">2026-08-03T12:07:09.698Z</dcterms:modified>
</cp:coreProperties>
</file>

<file path=docProps/custom.xml><?xml version="1.0" encoding="utf-8"?>
<Properties xmlns="http://schemas.openxmlformats.org/officeDocument/2006/custom-properties" xmlns:vt="http://schemas.openxmlformats.org/officeDocument/2006/docPropsVTypes"/>
</file>