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B7651A" w:rsidRDefault="00000000">
      <w:pPr>
        <w:spacing w:after="60"/>
        <w:jc w:val="center"/>
      </w:pPr>
      <w:r>
        <w:rPr>
          <w:b/>
          <w:bCs/>
          <w:color w:val="1F4E79"/>
          <w:sz w:val="32"/>
          <w:szCs w:val="32"/>
        </w:rPr>
        <w:t>INFORME MÉDICO COMPLEMENTARIO</w:t>
      </w:r>
    </w:p>
    <w:p w:rsidR="00B7651A" w:rsidRDefault="00000000">
      <w:pPr>
        <w:spacing w:after="60"/>
        <w:jc w:val="center"/>
      </w:pPr>
      <w:r>
        <w:rPr>
          <w:color w:val="555555"/>
          <w:sz w:val="24"/>
          <w:szCs w:val="24"/>
        </w:rPr>
        <w:t>Justificación Clínica de Estudios de Laboratorio</w:t>
      </w:r>
    </w:p>
    <w:p w:rsidR="00B7651A" w:rsidRDefault="00000000">
      <w:pPr>
        <w:spacing w:after="200"/>
        <w:jc w:val="center"/>
      </w:pPr>
      <w:r>
        <w:rPr>
          <w:i/>
          <w:iCs/>
        </w:rPr>
        <w:t>Para: Allianz México, S.A. Compañía de Seguros</w:t>
      </w:r>
    </w:p>
    <w:p w:rsidR="00B7651A" w:rsidRDefault="00000000">
      <w:pPr>
        <w:pBdr>
          <w:bottom w:val="single" w:sz="6" w:space="1" w:color="1F4E79"/>
        </w:pBdr>
        <w:spacing w:before="280" w:after="100"/>
      </w:pPr>
      <w:r>
        <w:rPr>
          <w:b/>
          <w:bCs/>
          <w:color w:val="1F4E79"/>
          <w:sz w:val="26"/>
          <w:szCs w:val="26"/>
        </w:rPr>
        <w:t>I. DATOS DEL PACIENTE Y MÉDICO TRATANTE</w:t>
      </w:r>
    </w:p>
    <w:p w:rsidR="00B7651A" w:rsidRDefault="00000000">
      <w:pPr>
        <w:spacing w:before="60" w:after="60"/>
      </w:pPr>
      <w:r>
        <w:rPr>
          <w:b/>
          <w:bCs/>
        </w:rPr>
        <w:t xml:space="preserve">Nombre del paciente: </w:t>
      </w:r>
      <w:r>
        <w:t>Mauricio Doria Ortiz</w:t>
      </w:r>
    </w:p>
    <w:p w:rsidR="00B7651A" w:rsidRDefault="00000000">
      <w:pPr>
        <w:spacing w:before="60" w:after="60"/>
      </w:pPr>
      <w:r>
        <w:rPr>
          <w:b/>
          <w:bCs/>
        </w:rPr>
        <w:t xml:space="preserve">Fecha de nacimiento: </w:t>
      </w:r>
      <w:r>
        <w:t>26 de julio de 1990</w:t>
      </w:r>
    </w:p>
    <w:p w:rsidR="00B7651A" w:rsidRDefault="00000000">
      <w:pPr>
        <w:spacing w:before="60" w:after="60"/>
      </w:pPr>
      <w:r>
        <w:rPr>
          <w:b/>
          <w:bCs/>
        </w:rPr>
        <w:t xml:space="preserve">Edad: </w:t>
      </w:r>
      <w:r>
        <w:t>35 años (al momento de los estudios iniciales)</w:t>
      </w:r>
    </w:p>
    <w:p w:rsidR="00B7651A" w:rsidRDefault="00000000">
      <w:pPr>
        <w:spacing w:before="60" w:after="60"/>
      </w:pPr>
      <w:r>
        <w:rPr>
          <w:b/>
          <w:bCs/>
        </w:rPr>
        <w:t xml:space="preserve">Sexo: </w:t>
      </w:r>
      <w:r>
        <w:t>Masculino</w:t>
      </w:r>
    </w:p>
    <w:p w:rsidR="00B7651A" w:rsidRDefault="00000000">
      <w:pPr>
        <w:spacing w:before="60" w:after="60"/>
      </w:pPr>
      <w:r>
        <w:rPr>
          <w:b/>
          <w:bCs/>
        </w:rPr>
        <w:t xml:space="preserve">Estado civil: </w:t>
      </w:r>
      <w:r>
        <w:t>Casado</w:t>
      </w:r>
    </w:p>
    <w:p w:rsidR="00B7651A" w:rsidRDefault="00B7651A">
      <w:pPr>
        <w:spacing w:before="60" w:after="60"/>
      </w:pPr>
    </w:p>
    <w:p w:rsidR="00B7651A" w:rsidRDefault="00000000">
      <w:pPr>
        <w:spacing w:before="60" w:after="60"/>
      </w:pPr>
      <w:r>
        <w:rPr>
          <w:b/>
          <w:bCs/>
        </w:rPr>
        <w:t xml:space="preserve">Médico tratante: </w:t>
      </w:r>
      <w:r>
        <w:t>Dr. Sergio Hernández Gutiérrez</w:t>
      </w:r>
    </w:p>
    <w:p w:rsidR="00B7651A" w:rsidRDefault="00000000">
      <w:pPr>
        <w:spacing w:before="60" w:after="60"/>
      </w:pPr>
      <w:r>
        <w:rPr>
          <w:b/>
          <w:bCs/>
        </w:rPr>
        <w:t xml:space="preserve">Especialidad: </w:t>
      </w:r>
      <w:r>
        <w:t>Médico General / Nutrición y Medicina Funcional</w:t>
      </w:r>
    </w:p>
    <w:p w:rsidR="00B7651A" w:rsidRDefault="00000000">
      <w:pPr>
        <w:spacing w:before="60" w:after="60"/>
      </w:pPr>
      <w:r>
        <w:rPr>
          <w:b/>
          <w:bCs/>
        </w:rPr>
        <w:t xml:space="preserve">Cédula Profesional: </w:t>
      </w:r>
      <w:r>
        <w:t>6175755</w:t>
      </w:r>
    </w:p>
    <w:p w:rsidR="00B7651A" w:rsidRDefault="00000000">
      <w:pPr>
        <w:spacing w:before="60" w:after="60"/>
      </w:pPr>
      <w:r>
        <w:rPr>
          <w:b/>
          <w:bCs/>
        </w:rPr>
        <w:t xml:space="preserve">RFC: </w:t>
      </w:r>
      <w:r>
        <w:t>HEG5840517 PL2</w:t>
      </w:r>
    </w:p>
    <w:p w:rsidR="00B7651A" w:rsidRDefault="00000000">
      <w:pPr>
        <w:spacing w:before="60" w:after="60"/>
      </w:pPr>
      <w:r>
        <w:rPr>
          <w:b/>
          <w:bCs/>
        </w:rPr>
        <w:t xml:space="preserve">Teléfono: </w:t>
      </w:r>
      <w:r>
        <w:t>55 85 67 1110 / Cel. 55 2755 2329</w:t>
      </w:r>
    </w:p>
    <w:p w:rsidR="00B7651A" w:rsidRDefault="00000000">
      <w:pPr>
        <w:spacing w:before="60" w:after="60"/>
      </w:pPr>
      <w:r>
        <w:rPr>
          <w:b/>
          <w:bCs/>
        </w:rPr>
        <w:t xml:space="preserve">Correo: </w:t>
      </w:r>
      <w:r>
        <w:t>drsergio@nutriciony</w:t>
      </w:r>
      <w:r w:rsidR="001562EF">
        <w:t>m</w:t>
      </w:r>
      <w:r>
        <w:t>edicinafuncional.mx</w:t>
      </w:r>
    </w:p>
    <w:p w:rsidR="00B7651A" w:rsidRDefault="00B7651A">
      <w:pPr>
        <w:spacing w:before="60" w:after="60"/>
      </w:pPr>
    </w:p>
    <w:p w:rsidR="00B7651A" w:rsidRDefault="00000000">
      <w:pPr>
        <w:pBdr>
          <w:bottom w:val="single" w:sz="6" w:space="1" w:color="1F4E79"/>
        </w:pBdr>
        <w:spacing w:before="280" w:after="100"/>
      </w:pPr>
      <w:r>
        <w:rPr>
          <w:b/>
          <w:bCs/>
          <w:color w:val="1F4E79"/>
          <w:sz w:val="26"/>
          <w:szCs w:val="26"/>
        </w:rPr>
        <w:t>II. HISTORIA CLÍNICA COMPLETA</w:t>
      </w:r>
    </w:p>
    <w:p w:rsidR="00B7651A" w:rsidRDefault="00000000">
      <w:pPr>
        <w:spacing w:before="100" w:after="40"/>
      </w:pPr>
      <w:r>
        <w:rPr>
          <w:b/>
          <w:bCs/>
        </w:rPr>
        <w:t>A. Motivo de consulta y evolución del padecimiento</w:t>
      </w:r>
    </w:p>
    <w:p w:rsidR="00B7651A" w:rsidRDefault="00000000">
      <w:pPr>
        <w:spacing w:before="80" w:after="80"/>
        <w:jc w:val="both"/>
      </w:pPr>
      <w:r>
        <w:t>El paciente Mauricio Doria Ortiz inició con sintomatología en octubre de 2025. Los síntomas fueron inicialmente inespecíficos y de progresión lenta, por lo que en un principio no se contaba con un diagnóstico establecido.</w:t>
      </w:r>
    </w:p>
    <w:p w:rsidR="00B7651A" w:rsidRDefault="00000000">
      <w:pPr>
        <w:spacing w:before="80" w:after="80"/>
        <w:jc w:val="both"/>
      </w:pPr>
      <w:r>
        <w:t>Acudió a primera consulta el 08 de enero de 2026, presentando el siguiente cuadro clínico:</w:t>
      </w:r>
    </w:p>
    <w:p w:rsidR="00B7651A" w:rsidRDefault="00000000">
      <w:pPr>
        <w:spacing w:before="60" w:after="60"/>
        <w:ind w:left="560" w:hanging="280"/>
      </w:pPr>
      <w:r>
        <w:t>• Aumento de peso sin cambios dietéticos relevantes</w:t>
      </w:r>
    </w:p>
    <w:p w:rsidR="00B7651A" w:rsidRDefault="00000000">
      <w:pPr>
        <w:spacing w:before="60" w:after="60"/>
        <w:ind w:left="560" w:hanging="280"/>
      </w:pPr>
      <w:r>
        <w:t>• Falta de energía y fatiga persistente</w:t>
      </w:r>
    </w:p>
    <w:p w:rsidR="00B7651A" w:rsidRDefault="00000000">
      <w:pPr>
        <w:spacing w:before="60" w:after="60"/>
        <w:ind w:left="560" w:hanging="280"/>
      </w:pPr>
      <w:r>
        <w:t>• Intolerancia al frío</w:t>
      </w:r>
    </w:p>
    <w:p w:rsidR="00B7651A" w:rsidRDefault="00000000">
      <w:pPr>
        <w:spacing w:before="60" w:after="60"/>
        <w:ind w:left="560" w:hanging="280"/>
      </w:pPr>
      <w:r>
        <w:t>• Pies fríos de forma constante</w:t>
      </w:r>
    </w:p>
    <w:p w:rsidR="00B7651A" w:rsidRDefault="00000000">
      <w:pPr>
        <w:spacing w:before="60" w:after="60"/>
        <w:ind w:left="560" w:hanging="280"/>
      </w:pPr>
      <w:r>
        <w:t>• Uñas frágiles</w:t>
      </w:r>
    </w:p>
    <w:p w:rsidR="00B7651A" w:rsidRDefault="00000000">
      <w:pPr>
        <w:spacing w:before="60" w:after="60"/>
        <w:ind w:left="560" w:hanging="280"/>
      </w:pPr>
      <w:r>
        <w:t>• Alteración en la concentración y rendimiento cognitivo</w:t>
      </w:r>
    </w:p>
    <w:p w:rsidR="00B7651A" w:rsidRDefault="00B7651A">
      <w:pPr>
        <w:spacing w:before="60" w:after="60"/>
      </w:pPr>
    </w:p>
    <w:p w:rsidR="00B7651A" w:rsidRDefault="00000000">
      <w:pPr>
        <w:spacing w:before="80" w:after="80"/>
        <w:jc w:val="both"/>
      </w:pPr>
      <w:r>
        <w:t>Datos de exploración física al momento de la consulta:</w:t>
      </w:r>
    </w:p>
    <w:p w:rsidR="00B7651A" w:rsidRDefault="00000000">
      <w:pPr>
        <w:spacing w:before="60" w:after="60"/>
        <w:ind w:left="560" w:hanging="280"/>
      </w:pPr>
      <w:r>
        <w:t>• Talla: 1.76 m</w:t>
      </w:r>
    </w:p>
    <w:p w:rsidR="00B7651A" w:rsidRDefault="00000000">
      <w:pPr>
        <w:spacing w:before="60" w:after="60"/>
        <w:ind w:left="560" w:hanging="280"/>
      </w:pPr>
      <w:r>
        <w:t>• Peso: 93.8 kg</w:t>
      </w:r>
    </w:p>
    <w:p w:rsidR="00B7651A" w:rsidRDefault="00000000">
      <w:pPr>
        <w:spacing w:before="60" w:after="60"/>
        <w:ind w:left="560" w:hanging="280"/>
      </w:pPr>
      <w:r>
        <w:t>• Tensión arterial: 120/80 mmHg</w:t>
      </w:r>
    </w:p>
    <w:p w:rsidR="00B7651A" w:rsidRDefault="00B7651A">
      <w:pPr>
        <w:spacing w:before="60" w:after="60"/>
      </w:pPr>
    </w:p>
    <w:p w:rsidR="00B7651A" w:rsidRDefault="00000000">
      <w:pPr>
        <w:spacing w:before="100" w:after="40"/>
      </w:pPr>
      <w:r>
        <w:rPr>
          <w:b/>
          <w:bCs/>
        </w:rPr>
        <w:t>B. Antecedentes Patológicos Personales</w:t>
      </w:r>
    </w:p>
    <w:p w:rsidR="00B7651A" w:rsidRDefault="00000000">
      <w:pPr>
        <w:spacing w:before="80" w:after="80"/>
      </w:pPr>
      <w:r>
        <w:t>Sin antecedentes patológicos previos.</w:t>
      </w:r>
    </w:p>
    <w:p w:rsidR="00B7651A" w:rsidRDefault="00000000">
      <w:pPr>
        <w:spacing w:before="100" w:after="40"/>
      </w:pPr>
      <w:r>
        <w:rPr>
          <w:b/>
          <w:bCs/>
        </w:rPr>
        <w:t>C. Antecedentes Heredo-Familiares</w:t>
      </w:r>
    </w:p>
    <w:p w:rsidR="00B7651A" w:rsidRDefault="00000000">
      <w:pPr>
        <w:spacing w:before="80" w:after="80"/>
      </w:pPr>
      <w:r>
        <w:t>Sin antecedentes heredo-familiares de relevancia reportados al momento de la consulta.</w:t>
      </w:r>
    </w:p>
    <w:p w:rsidR="00B7651A" w:rsidRDefault="00000000">
      <w:pPr>
        <w:spacing w:before="100" w:after="40"/>
      </w:pPr>
      <w:r>
        <w:rPr>
          <w:b/>
          <w:bCs/>
        </w:rPr>
        <w:t>D. Antecedentes Personales No Patológicos</w:t>
      </w:r>
    </w:p>
    <w:p w:rsidR="00B7651A" w:rsidRDefault="00000000">
      <w:pPr>
        <w:spacing w:before="80" w:after="80"/>
      </w:pPr>
      <w:r>
        <w:lastRenderedPageBreak/>
        <w:t>Paciente masculino adulto, casado. Sin consumo de alcohol ni drogas reportado. No aplican antecedentes gineco-obstétricos.</w:t>
      </w:r>
    </w:p>
    <w:p w:rsidR="00B7651A" w:rsidRDefault="00B7651A">
      <w:pPr>
        <w:spacing w:before="60" w:after="60"/>
      </w:pPr>
    </w:p>
    <w:p w:rsidR="00B7651A" w:rsidRDefault="00000000">
      <w:pPr>
        <w:pBdr>
          <w:bottom w:val="single" w:sz="6" w:space="1" w:color="1F4E79"/>
        </w:pBdr>
        <w:spacing w:before="280" w:after="100"/>
      </w:pPr>
      <w:r>
        <w:rPr>
          <w:b/>
          <w:bCs/>
          <w:color w:val="1F4E79"/>
          <w:sz w:val="26"/>
          <w:szCs w:val="26"/>
        </w:rPr>
        <w:t>III. DIAGNÓSTICO, FECHAS Y ETIOLOGÍA</w:t>
      </w:r>
    </w:p>
    <w:p w:rsidR="00B7651A" w:rsidRDefault="00000000">
      <w:pPr>
        <w:spacing w:before="60" w:after="60"/>
      </w:pPr>
      <w:r>
        <w:rPr>
          <w:b/>
          <w:bCs/>
        </w:rPr>
        <w:t xml:space="preserve">Fecha de inicio de síntomas: </w:t>
      </w:r>
      <w:r>
        <w:t>30 de octubre de 2025</w:t>
      </w:r>
    </w:p>
    <w:p w:rsidR="00B7651A" w:rsidRDefault="00000000">
      <w:pPr>
        <w:spacing w:before="60" w:after="60"/>
      </w:pPr>
      <w:r>
        <w:rPr>
          <w:b/>
          <w:bCs/>
        </w:rPr>
        <w:t xml:space="preserve">Fecha de primera atención médica: </w:t>
      </w:r>
      <w:r>
        <w:t>08 de enero de 2026</w:t>
      </w:r>
    </w:p>
    <w:p w:rsidR="00B7651A" w:rsidRDefault="00000000">
      <w:pPr>
        <w:spacing w:before="60" w:after="60"/>
      </w:pPr>
      <w:r>
        <w:rPr>
          <w:b/>
          <w:bCs/>
        </w:rPr>
        <w:t xml:space="preserve">Fecha de diagnóstico formal: </w:t>
      </w:r>
      <w:r>
        <w:t>09 de abril de 2026</w:t>
      </w:r>
    </w:p>
    <w:p w:rsidR="00B7651A" w:rsidRDefault="00000000">
      <w:pPr>
        <w:spacing w:before="60" w:after="60"/>
      </w:pPr>
      <w:r>
        <w:rPr>
          <w:b/>
          <w:bCs/>
        </w:rPr>
        <w:t xml:space="preserve">Tipo de padecimiento: </w:t>
      </w:r>
      <w:r>
        <w:t>Crónico — No ocasiona incapacidad total ni parcial</w:t>
      </w:r>
    </w:p>
    <w:p w:rsidR="00B7651A" w:rsidRDefault="00B7651A">
      <w:pPr>
        <w:spacing w:before="60" w:after="60"/>
      </w:pPr>
    </w:p>
    <w:p w:rsidR="00B7651A" w:rsidRDefault="00000000">
      <w:pPr>
        <w:spacing w:before="60" w:after="60"/>
      </w:pPr>
      <w:r>
        <w:rPr>
          <w:b/>
          <w:bCs/>
        </w:rPr>
        <w:t xml:space="preserve">Diagnóstico: </w:t>
      </w:r>
      <w:r>
        <w:t>Hipotiroidismo Periférico</w:t>
      </w:r>
    </w:p>
    <w:p w:rsidR="00B7651A" w:rsidRDefault="00000000">
      <w:pPr>
        <w:spacing w:before="60" w:after="60"/>
      </w:pPr>
      <w:r>
        <w:rPr>
          <w:b/>
          <w:bCs/>
        </w:rPr>
        <w:t xml:space="preserve">Causa/Etiología: </w:t>
      </w:r>
      <w:r>
        <w:t>Alteración en la conversión periférica de T4 a T3 asociada a polimorfismo genético DIO2 (genotipo CC)</w:t>
      </w:r>
    </w:p>
    <w:p w:rsidR="00B7651A" w:rsidRDefault="00B7651A">
      <w:pPr>
        <w:spacing w:before="60" w:after="60"/>
      </w:pPr>
    </w:p>
    <w:p w:rsidR="00B7651A" w:rsidRDefault="00000000">
      <w:pPr>
        <w:spacing w:before="80" w:after="80"/>
        <w:jc w:val="both"/>
      </w:pPr>
      <w:r>
        <w:t>El diagnóstico de Hipotiroidismo Periférico se establece en abril de 2026, con base en la correlación de la clínica del paciente, los resultados de laboratorio especializados y el análisis genético realizado. Los estudios evidencian el gen DIO2 con genotipo CC, variante que determina que la T4 no se convierte eficientemente en T3 activa a nivel celular, explicando el cuadro sintomático a pesar de que los valores séricos convencionales de tiroides (TSH, T4 libre) pudieran mostrarse en rangos normales en una determinación estándar.</w:t>
      </w:r>
    </w:p>
    <w:p w:rsidR="00B7651A" w:rsidRDefault="00B7651A">
      <w:pPr>
        <w:spacing w:before="60" w:after="60"/>
      </w:pPr>
    </w:p>
    <w:p w:rsidR="00B7651A" w:rsidRDefault="00000000">
      <w:pPr>
        <w:pBdr>
          <w:bottom w:val="single" w:sz="6" w:space="1" w:color="1F4E79"/>
        </w:pBdr>
        <w:spacing w:before="280" w:after="100"/>
      </w:pPr>
      <w:r>
        <w:rPr>
          <w:b/>
          <w:bCs/>
          <w:color w:val="1F4E79"/>
          <w:sz w:val="26"/>
          <w:szCs w:val="26"/>
        </w:rPr>
        <w:t>IV. EVOLUCIÓN, TRATAMIENTO Y ESTADO ACTUAL</w:t>
      </w:r>
    </w:p>
    <w:p w:rsidR="00B7651A" w:rsidRDefault="00000000">
      <w:pPr>
        <w:spacing w:before="80" w:after="80"/>
        <w:jc w:val="both"/>
      </w:pPr>
      <w:r>
        <w:t>El paciente se encuentra actualmente bajo tratamiento médico instaurado el 01 de agosto de 2026, con evolución favorable. El esquema de tratamiento comprende:</w:t>
      </w:r>
    </w:p>
    <w:p w:rsidR="00B7651A" w:rsidRDefault="00000000">
      <w:pPr>
        <w:spacing w:before="60" w:after="60"/>
        <w:ind w:left="560" w:hanging="280"/>
      </w:pPr>
      <w:r>
        <w:t>• Metabolic Daily (probióticos)</w:t>
      </w:r>
    </w:p>
    <w:p w:rsidR="00B7651A" w:rsidRDefault="00000000">
      <w:pPr>
        <w:spacing w:before="60" w:after="60"/>
        <w:ind w:left="560" w:hanging="280"/>
      </w:pPr>
      <w:r>
        <w:t>• Vitamina D+K</w:t>
      </w:r>
    </w:p>
    <w:p w:rsidR="00B7651A" w:rsidRPr="001562EF" w:rsidRDefault="00000000">
      <w:pPr>
        <w:spacing w:before="60" w:after="60"/>
        <w:ind w:left="560" w:hanging="280"/>
        <w:rPr>
          <w:lang w:val="en-US"/>
        </w:rPr>
      </w:pPr>
      <w:r w:rsidRPr="001562EF">
        <w:rPr>
          <w:lang w:val="en-US"/>
        </w:rPr>
        <w:t xml:space="preserve">• </w:t>
      </w:r>
      <w:proofErr w:type="spellStart"/>
      <w:r w:rsidRPr="001562EF">
        <w:rPr>
          <w:lang w:val="en-US"/>
        </w:rPr>
        <w:t>Optimag</w:t>
      </w:r>
      <w:proofErr w:type="spellEnd"/>
    </w:p>
    <w:p w:rsidR="00B7651A" w:rsidRPr="001562EF" w:rsidRDefault="00000000">
      <w:pPr>
        <w:spacing w:before="60" w:after="60"/>
        <w:ind w:left="560" w:hanging="280"/>
        <w:rPr>
          <w:lang w:val="en-US"/>
        </w:rPr>
      </w:pPr>
      <w:r w:rsidRPr="001562EF">
        <w:rPr>
          <w:lang w:val="en-US"/>
        </w:rPr>
        <w:t>• Omega 800</w:t>
      </w:r>
    </w:p>
    <w:p w:rsidR="00B7651A" w:rsidRPr="001562EF" w:rsidRDefault="00000000">
      <w:pPr>
        <w:spacing w:before="60" w:after="60"/>
        <w:ind w:left="560" w:hanging="280"/>
        <w:rPr>
          <w:lang w:val="en-US"/>
        </w:rPr>
      </w:pPr>
      <w:r w:rsidRPr="001562EF">
        <w:rPr>
          <w:lang w:val="en-US"/>
        </w:rPr>
        <w:t>• Liver Protect</w:t>
      </w:r>
    </w:p>
    <w:p w:rsidR="00B7651A" w:rsidRPr="001562EF" w:rsidRDefault="00000000">
      <w:pPr>
        <w:spacing w:before="60" w:after="60"/>
        <w:ind w:left="560" w:hanging="280"/>
        <w:rPr>
          <w:lang w:val="en-US"/>
        </w:rPr>
      </w:pPr>
      <w:r w:rsidRPr="001562EF">
        <w:rPr>
          <w:lang w:val="en-US"/>
        </w:rPr>
        <w:t xml:space="preserve">• </w:t>
      </w:r>
      <w:proofErr w:type="spellStart"/>
      <w:r w:rsidRPr="001562EF">
        <w:rPr>
          <w:lang w:val="en-US"/>
        </w:rPr>
        <w:t>Adapten</w:t>
      </w:r>
      <w:proofErr w:type="spellEnd"/>
      <w:r w:rsidRPr="001562EF">
        <w:rPr>
          <w:lang w:val="en-US"/>
        </w:rPr>
        <w:t xml:space="preserve"> All</w:t>
      </w:r>
    </w:p>
    <w:p w:rsidR="00B7651A" w:rsidRPr="001562EF" w:rsidRDefault="00000000">
      <w:pPr>
        <w:spacing w:before="60" w:after="60"/>
        <w:ind w:left="560" w:hanging="280"/>
        <w:rPr>
          <w:lang w:val="en-US"/>
        </w:rPr>
      </w:pPr>
      <w:r w:rsidRPr="001562EF">
        <w:rPr>
          <w:lang w:val="en-US"/>
        </w:rPr>
        <w:t xml:space="preserve">• </w:t>
      </w:r>
      <w:proofErr w:type="spellStart"/>
      <w:r w:rsidRPr="001562EF">
        <w:rPr>
          <w:lang w:val="en-US"/>
        </w:rPr>
        <w:t>Dabex</w:t>
      </w:r>
      <w:proofErr w:type="spellEnd"/>
    </w:p>
    <w:p w:rsidR="00B7651A" w:rsidRPr="001562EF" w:rsidRDefault="00000000">
      <w:pPr>
        <w:spacing w:before="60" w:after="60"/>
        <w:ind w:left="560" w:hanging="280"/>
        <w:rPr>
          <w:lang w:val="en-US"/>
        </w:rPr>
      </w:pPr>
      <w:r w:rsidRPr="001562EF">
        <w:rPr>
          <w:lang w:val="en-US"/>
        </w:rPr>
        <w:t>• Sonic Cholesterol</w:t>
      </w:r>
    </w:p>
    <w:p w:rsidR="00B7651A" w:rsidRPr="001562EF" w:rsidRDefault="00000000">
      <w:pPr>
        <w:spacing w:before="60" w:after="60"/>
        <w:ind w:left="560" w:hanging="280"/>
        <w:rPr>
          <w:lang w:val="en-US"/>
        </w:rPr>
      </w:pPr>
      <w:r w:rsidRPr="001562EF">
        <w:rPr>
          <w:lang w:val="en-US"/>
        </w:rPr>
        <w:t>• DHEA SR 50 mg</w:t>
      </w:r>
    </w:p>
    <w:p w:rsidR="00B7651A" w:rsidRDefault="00000000">
      <w:pPr>
        <w:spacing w:before="60" w:after="60"/>
        <w:ind w:left="560" w:hanging="280"/>
      </w:pPr>
      <w:r>
        <w:t>• Tiroides porcina 1 grano</w:t>
      </w:r>
    </w:p>
    <w:p w:rsidR="00B7651A" w:rsidRDefault="00000000">
      <w:pPr>
        <w:spacing w:before="60" w:after="60"/>
        <w:ind w:left="560" w:hanging="280"/>
      </w:pPr>
      <w:r>
        <w:t>• Mounjaro solución inyectable 2.5 mg (Tirzepatida)</w:t>
      </w:r>
    </w:p>
    <w:p w:rsidR="00B7651A" w:rsidRDefault="00B7651A">
      <w:pPr>
        <w:spacing w:before="60" w:after="60"/>
      </w:pPr>
    </w:p>
    <w:p w:rsidR="00B7651A" w:rsidRDefault="00000000">
      <w:pPr>
        <w:spacing w:before="80" w:after="80"/>
      </w:pPr>
      <w:r>
        <w:t>El paciente continuará recibiendo tratamiento de manera indefinida por tratarse de un padecimiento crónico. No se han reportado complicaciones al momento de la elaboración del presente informe.</w:t>
      </w:r>
    </w:p>
    <w:p w:rsidR="00B7651A" w:rsidRDefault="00B7651A">
      <w:pPr>
        <w:spacing w:before="60" w:after="60"/>
      </w:pPr>
    </w:p>
    <w:p w:rsidR="00B7651A" w:rsidRDefault="00000000">
      <w:pPr>
        <w:pBdr>
          <w:bottom w:val="single" w:sz="6" w:space="1" w:color="1F4E79"/>
        </w:pBdr>
        <w:spacing w:before="280" w:after="100"/>
      </w:pPr>
      <w:r>
        <w:rPr>
          <w:b/>
          <w:bCs/>
          <w:color w:val="1F4E79"/>
          <w:sz w:val="26"/>
          <w:szCs w:val="26"/>
        </w:rPr>
        <w:t>V. JUSTIFICACIÓN CLÍNICA DE ESTUDIOS VITAGE (PANEL DIAGNÓSTICO INTEGRAL)</w:t>
      </w:r>
    </w:p>
    <w:p w:rsidR="00B7651A" w:rsidRDefault="00000000">
      <w:pPr>
        <w:spacing w:before="80" w:after="80"/>
        <w:jc w:val="both"/>
      </w:pPr>
      <w:r>
        <w:lastRenderedPageBreak/>
        <w:t>Los estudios realizados a través de Vitage Laboratorios Especializados NO corresponden a un chequeo preventivo de rutina ("check up"). Se trata de un panel diagnóstico ampliado, solicitado con el propósito específico de:</w:t>
      </w:r>
    </w:p>
    <w:p w:rsidR="00B7651A" w:rsidRDefault="00000000">
      <w:pPr>
        <w:spacing w:before="60" w:after="60"/>
        <w:ind w:left="560" w:hanging="280"/>
      </w:pPr>
      <w:r>
        <w:t>• Identificar la causa subyacente del cuadro clínico del paciente (fatiga, aumento de peso, intolerancia al frío, alteración cognitiva).</w:t>
      </w:r>
    </w:p>
    <w:p w:rsidR="00B7651A" w:rsidRDefault="00000000">
      <w:pPr>
        <w:spacing w:before="60" w:after="60"/>
        <w:ind w:left="560" w:hanging="280"/>
      </w:pPr>
      <w:r>
        <w:t>• Evaluar de manera integral los parámetros metabólicos, hormonales, genéticos y nutricionales del paciente, con el fin de establecer o descartar diagnósticos diferenciales.</w:t>
      </w:r>
    </w:p>
    <w:p w:rsidR="00B7651A" w:rsidRDefault="00000000">
      <w:pPr>
        <w:spacing w:before="60" w:after="60"/>
        <w:ind w:left="560" w:hanging="280"/>
      </w:pPr>
      <w:r>
        <w:t>• Monitorear los niveles en respuesta al tratamiento instaurado.</w:t>
      </w:r>
    </w:p>
    <w:p w:rsidR="00B7651A" w:rsidRDefault="00B7651A">
      <w:pPr>
        <w:spacing w:before="60" w:after="60"/>
      </w:pPr>
    </w:p>
    <w:p w:rsidR="00B7651A" w:rsidRDefault="00000000">
      <w:pPr>
        <w:spacing w:before="80" w:after="80"/>
      </w:pPr>
      <w:r>
        <w:t>A continuación se describe la justificación clínica específica por grupo de estudios:</w:t>
      </w:r>
    </w:p>
    <w:p w:rsidR="00B7651A" w:rsidRDefault="00B7651A">
      <w:pPr>
        <w:spacing w:before="60" w:after="60"/>
      </w:pPr>
    </w:p>
    <w:p w:rsidR="00B7651A" w:rsidRDefault="00000000">
      <w:pPr>
        <w:spacing w:before="100" w:after="40"/>
      </w:pPr>
      <w:r>
        <w:rPr>
          <w:b/>
          <w:bCs/>
        </w:rPr>
        <w:t>Panel Tiroideo (TSH, T3 Libre, T3 Total, T4 Libre, T4 Total, Captación Tiroidea, Anticuerpos Anti-TPO, Anti-Tiroglobulina)</w:t>
      </w:r>
    </w:p>
    <w:p w:rsidR="00B7651A" w:rsidRDefault="00000000">
      <w:pPr>
        <w:spacing w:before="80" w:after="80"/>
        <w:jc w:val="both"/>
      </w:pPr>
      <w:r>
        <w:t>Indicado para evaluación completa de la función tiroidea ante la sintomatología compatíble con hipotiroidismo (fatiga, intolerancia al frío, aumento de peso, alteración cognitiva). El panel ampliado fue necesario para identificar la conversión periférica de T4 a T3, que no es evaluable mediante un perfil tiroideo básico. Los anticuerpos fueron solicitados para descartar etiología autoinmune (Hashimoto). Los resultados confirmaron TSH significativamente baja (0.04 µUI/mL) en el primer panel y normalización progresiva con tratamiento, con T3 libre en rango bajo-normal, consistente con el defecto de conversión periférica.</w:t>
      </w:r>
    </w:p>
    <w:p w:rsidR="00B7651A" w:rsidRDefault="00B7651A">
      <w:pPr>
        <w:spacing w:before="60" w:after="60"/>
      </w:pPr>
    </w:p>
    <w:p w:rsidR="00B7651A" w:rsidRDefault="00000000">
      <w:pPr>
        <w:spacing w:before="100" w:after="40"/>
      </w:pPr>
      <w:r>
        <w:rPr>
          <w:b/>
          <w:bCs/>
        </w:rPr>
        <w:t>Análisis Genético DIO2 SNP Panel (gen DIO2, polimorfismo Thr92Ala)</w:t>
      </w:r>
    </w:p>
    <w:p w:rsidR="00B7651A" w:rsidRDefault="00000000">
      <w:pPr>
        <w:spacing w:before="80" w:after="80"/>
        <w:jc w:val="both"/>
      </w:pPr>
      <w:r>
        <w:t>Solicitado para determinar si el paciente presenta polimorfismo en el gen DIO2, responsable de la actividad de la enzima Desyodasa Tipo II, encargada de convertir T4 en T3 activa a nivel celular. Este estudio es imprescindible para el diagnóstico de Hipotiroidismo Periférico, ya que la alteración en este gen explica la persistencia de síntomas aun con valores séricos de TSH y T4 dentro de rangos convencionales. El resultado confirmó genotipo CC (impacto alto), estableciendo la causa molecular del padecimiento.</w:t>
      </w:r>
    </w:p>
    <w:p w:rsidR="00B7651A" w:rsidRDefault="00B7651A">
      <w:pPr>
        <w:spacing w:before="60" w:after="60"/>
      </w:pPr>
    </w:p>
    <w:p w:rsidR="00B7651A" w:rsidRDefault="00000000">
      <w:pPr>
        <w:spacing w:before="100" w:after="40"/>
      </w:pPr>
      <w:r>
        <w:rPr>
          <w:b/>
          <w:bCs/>
        </w:rPr>
        <w:t>Panel Hormonal (Cortisol Matutino, DHEA-S04, Estradiol, Testosterona Total y Libre, Prolactina, LH, FSH, Insulina Basal)</w:t>
      </w:r>
    </w:p>
    <w:p w:rsidR="00B7651A" w:rsidRDefault="00000000">
      <w:pPr>
        <w:spacing w:before="80" w:after="80"/>
        <w:jc w:val="both"/>
      </w:pPr>
      <w:r>
        <w:t>Solicitado para descartar otras causas endocrinas del cuadro clínico del paciente (fatiga, aumento de peso, alteración en la concentración). Resultados relevantes: Prolactina elevada (28.38 ng/mL, valor de referencia hasta 19.40), hallazgo que requiere vigilancia clínica. La evaluación hormonal integral es parte esencial del abordaje diagnóstico ante cuadros de hipotiroidismo periférico.</w:t>
      </w:r>
    </w:p>
    <w:p w:rsidR="00B7651A" w:rsidRDefault="00B7651A">
      <w:pPr>
        <w:spacing w:before="60" w:after="60"/>
      </w:pPr>
    </w:p>
    <w:p w:rsidR="00B7651A" w:rsidRDefault="00000000">
      <w:pPr>
        <w:spacing w:before="100" w:after="40"/>
      </w:pPr>
      <w:r>
        <w:rPr>
          <w:b/>
          <w:bCs/>
        </w:rPr>
        <w:t>Quantose RI (Resistencia a la Insulina)</w:t>
      </w:r>
    </w:p>
    <w:p w:rsidR="00B7651A" w:rsidRDefault="00000000">
      <w:pPr>
        <w:spacing w:before="80" w:after="80"/>
        <w:jc w:val="both"/>
      </w:pPr>
      <w:r>
        <w:t>Indicado para evaluar resistencia a la insulina como diagnóstico diferencial y comorbilidad asociada al aumento de peso y fatiga del paciente. El hipotiroidismo periférico puede asociarse con alteraciones metabólicas. El resultado arrojó puntuación de 43/120 (sensible a la insulina), con niveles de AHB y LGPC dentro de rangos ligeramente alterados, confirmando que no existe resistencia a la insulina clínicamente significativa y orientando hacia el diagnóstico tiroideo como causa principal.</w:t>
      </w:r>
    </w:p>
    <w:p w:rsidR="00B7651A" w:rsidRDefault="00B7651A">
      <w:pPr>
        <w:spacing w:before="60" w:after="60"/>
      </w:pPr>
    </w:p>
    <w:p w:rsidR="00B7651A" w:rsidRDefault="00000000">
      <w:pPr>
        <w:spacing w:before="100" w:after="40"/>
      </w:pPr>
      <w:r>
        <w:rPr>
          <w:b/>
          <w:bCs/>
        </w:rPr>
        <w:t>Panel Metabólico Completo (Glucosa, Panel Renal, Panel Hepático, Panel Pancreático)</w:t>
      </w:r>
    </w:p>
    <w:p w:rsidR="00B7651A" w:rsidRDefault="00000000">
      <w:pPr>
        <w:spacing w:before="80" w:after="80"/>
        <w:jc w:val="both"/>
      </w:pPr>
      <w:r>
        <w:t xml:space="preserve">Solicitado como parte del abordaje diagnóstico integral para descartar causas metabólicas, hepáticas y renales del cuadro clínico. Resultados relevantes: ALT/TGP en límite superior del rango de referencia </w:t>
      </w:r>
      <w:r>
        <w:lastRenderedPageBreak/>
        <w:t>en el primer estudio (52 UI/L), proteínas totales ligeramente bajas (6.20 g/dL). Estos hallazgos justificaron la inclusión de Liver Protect en el esquema de tratamiento.</w:t>
      </w:r>
    </w:p>
    <w:p w:rsidR="00B7651A" w:rsidRDefault="00B7651A">
      <w:pPr>
        <w:spacing w:before="60" w:after="60"/>
      </w:pPr>
    </w:p>
    <w:p w:rsidR="00B7651A" w:rsidRDefault="00000000">
      <w:pPr>
        <w:spacing w:before="100" w:after="40"/>
      </w:pPr>
      <w:r>
        <w:rPr>
          <w:b/>
          <w:bCs/>
        </w:rPr>
        <w:t>Panel Lipídico y Cardiaco (Colesterol, HDL, LDL, VLDL, Triglicéridos, Homocisteína, Lipoproteína(a), PCR Ultrasensible)</w:t>
      </w:r>
    </w:p>
    <w:p w:rsidR="00B7651A" w:rsidRDefault="00000000">
      <w:pPr>
        <w:spacing w:before="80" w:after="80"/>
        <w:jc w:val="both"/>
      </w:pPr>
      <w:r>
        <w:t>Indicado para valorar el riesgo cardiovascular asociado al hipotiroidismo, que puede alterar el metabolismo lipídico. El colesterol total resultó en 108 mg/dL y los triglicéridos en 64 mg/dL, con PCR ultrasensible en nivel bajo de riesgo (0.80 mg/L), orientando el tratamiento con Sonic Cholesterol y Omega 800.</w:t>
      </w:r>
    </w:p>
    <w:p w:rsidR="00B7651A" w:rsidRDefault="00B7651A">
      <w:pPr>
        <w:spacing w:before="60" w:after="60"/>
      </w:pPr>
    </w:p>
    <w:p w:rsidR="00B7651A" w:rsidRDefault="00000000">
      <w:pPr>
        <w:spacing w:before="100" w:after="40"/>
      </w:pPr>
      <w:r>
        <w:rPr>
          <w:b/>
          <w:bCs/>
        </w:rPr>
        <w:t>Ácidos Grasos Esenciales y Metabólicos (Panel Vitage / Genova Diagnostics)</w:t>
      </w:r>
    </w:p>
    <w:p w:rsidR="00B7651A" w:rsidRDefault="00000000">
      <w:pPr>
        <w:spacing w:before="80" w:after="80"/>
        <w:jc w:val="both"/>
      </w:pPr>
      <w:r>
        <w:t>Solicitado para evaluar el perfil de ácidos grasos esenciales (Omega-3, Omega-6, Omega-9) en el contexto del tratamiento del hipotiroidismo periférico y el riesgo cardiovascular. El Omega-3 Index resultó de 4.8 (valor de referencia ≥ 4.0), justificando la prescripción de Omega 800 en el esquema terapéutico.</w:t>
      </w:r>
    </w:p>
    <w:p w:rsidR="00B7651A" w:rsidRDefault="00B7651A">
      <w:pPr>
        <w:spacing w:before="60" w:after="60"/>
      </w:pPr>
    </w:p>
    <w:p w:rsidR="00B7651A" w:rsidRDefault="00000000">
      <w:pPr>
        <w:spacing w:before="100" w:after="40"/>
      </w:pPr>
      <w:r>
        <w:rPr>
          <w:b/>
          <w:bCs/>
        </w:rPr>
        <w:t>Vitaminas (Vitamina D-25 Hidroxi, Vitamina B12, Folato)</w:t>
      </w:r>
    </w:p>
    <w:p w:rsidR="00B7651A" w:rsidRDefault="00000000">
      <w:pPr>
        <w:spacing w:before="80" w:after="80"/>
        <w:jc w:val="both"/>
      </w:pPr>
      <w:r>
        <w:t>Indicado para evaluar deficiencias vitamínicas asociadas al cuadro de fatiga y síntomas neurológicos. La Vitamina D resultó en 42.8 ng/mL (suficiencia) en el primer panel. La Vitamina B12 fue de 1,301 pg/mL (elevada), hallazgo clínicamente relevante para el seguimiento. Estos resultados orientaron la prescripción de Vitamina D+K en el tratamiento.</w:t>
      </w:r>
    </w:p>
    <w:p w:rsidR="00B7651A" w:rsidRDefault="00B7651A">
      <w:pPr>
        <w:spacing w:before="60" w:after="60"/>
      </w:pPr>
    </w:p>
    <w:p w:rsidR="00B7651A" w:rsidRDefault="00000000">
      <w:pPr>
        <w:spacing w:before="100" w:after="40"/>
      </w:pPr>
      <w:r>
        <w:rPr>
          <w:b/>
          <w:bCs/>
        </w:rPr>
        <w:t>Panel Hematológico (Biometría Hemática, Hierro, Ferritina, TIBC, Saturación de Transferrina, Hemoglobina Glicosilada, VSG)</w:t>
      </w:r>
    </w:p>
    <w:p w:rsidR="00B7651A" w:rsidRDefault="00000000">
      <w:pPr>
        <w:spacing w:before="80" w:after="80"/>
        <w:jc w:val="both"/>
      </w:pPr>
      <w:r>
        <w:t>Solicitado para descartar anemias, alteraciones inflamatorias e intolerancia a la glucosa como causas del cuadro clínico. Resultado relevante: % Saturación de Transferrina en 58.3% (alto) en el primer estudio, con normalización en el control. La Hemoglobina Glicosilada (HbA1c: 5.20%) descarta diabetes mellitus.</w:t>
      </w:r>
    </w:p>
    <w:p w:rsidR="00B7651A" w:rsidRDefault="00B7651A">
      <w:pPr>
        <w:spacing w:before="60" w:after="60"/>
      </w:pPr>
    </w:p>
    <w:p w:rsidR="00B7651A" w:rsidRDefault="00000000">
      <w:pPr>
        <w:spacing w:before="100" w:after="40"/>
      </w:pPr>
      <w:r>
        <w:rPr>
          <w:b/>
          <w:bCs/>
        </w:rPr>
        <w:t>Inmunología (Antígeno Candida IgG, H. pylori, Anticuerpos Tiroideos)</w:t>
      </w:r>
    </w:p>
    <w:p w:rsidR="00B7651A" w:rsidRDefault="00000000">
      <w:pPr>
        <w:spacing w:before="80" w:after="80"/>
        <w:jc w:val="both"/>
      </w:pPr>
      <w:r>
        <w:t>Indicado para descartar infecciones o inflamación crónica silente que pudieran confundir el cuadro clínico. Resultado relevante: Alérgeno Candida IgG de 3.64 mgA/L (Alto, referencia hasta 2.00), hallazgo que orientó el tratamiento con Metabolic Daily y Liver Protect. H. pylori negativo. Anticuerpos tiroideos dentro de rangos normales (descartando Hashimoto).</w:t>
      </w:r>
    </w:p>
    <w:p w:rsidR="00B7651A" w:rsidRDefault="00B7651A">
      <w:pPr>
        <w:spacing w:before="60" w:after="60"/>
      </w:pPr>
    </w:p>
    <w:p w:rsidR="00B7651A" w:rsidRDefault="00000000">
      <w:pPr>
        <w:pBdr>
          <w:bottom w:val="single" w:sz="6" w:space="1" w:color="1F4E79"/>
        </w:pBdr>
        <w:spacing w:before="280" w:after="100"/>
      </w:pPr>
      <w:r>
        <w:rPr>
          <w:b/>
          <w:bCs/>
          <w:color w:val="1F4E79"/>
          <w:sz w:val="26"/>
          <w:szCs w:val="26"/>
        </w:rPr>
        <w:t>VI. JUSTIFICACIÓN DE ESTUDIOS ESPECÍFICOS REQUERIDOS POR LA ASEGURADORA</w:t>
      </w:r>
    </w:p>
    <w:p w:rsidR="00B7651A" w:rsidRDefault="00000000">
      <w:pPr>
        <w:spacing w:before="100" w:after="40"/>
      </w:pPr>
      <w:r>
        <w:rPr>
          <w:b/>
          <w:bCs/>
        </w:rPr>
        <w:t>1. Coprológico y Coprocultivo</w:t>
      </w:r>
    </w:p>
    <w:p w:rsidR="00B7651A" w:rsidRDefault="00000000">
      <w:pPr>
        <w:spacing w:before="80" w:after="80"/>
        <w:jc w:val="both"/>
      </w:pPr>
      <w:r>
        <w:t>Estos estudios fueron solicitados dentro del panel diagnóstico integral, con la finalidad de descartar infección bacteriana o parasitaria intestinal como causa contribuyente al cuadro de fatiga, alteración en la absorción de nutrientes y síntomas generales del paciente. El hipotiroidismo periférico puede coexistir con disbiosis intestinal y alteraciones en la motilidad gastrointestinal. Resultado: Coprocultivo negativo para Salmonella, Shigella, Campylobacter, E. coli O157, Yersinia, Aeromonas y Plesiomonas. Coprológico con hallazgos de almidones moderados y fibras musculares escasas, sugestivos de malabsorción leve, consistent</w:t>
      </w:r>
      <w:r w:rsidR="00670937">
        <w:t>e</w:t>
      </w:r>
      <w:r>
        <w:t xml:space="preserve"> con el cuadro clínico.</w:t>
      </w:r>
    </w:p>
    <w:p w:rsidR="00B7651A" w:rsidRDefault="00B7651A">
      <w:pPr>
        <w:spacing w:before="60" w:after="60"/>
      </w:pPr>
    </w:p>
    <w:p w:rsidR="00B7651A" w:rsidRDefault="00000000">
      <w:pPr>
        <w:spacing w:before="100" w:after="40"/>
      </w:pPr>
      <w:r>
        <w:rPr>
          <w:b/>
          <w:bCs/>
        </w:rPr>
        <w:lastRenderedPageBreak/>
        <w:t>2. Coproparasitoscópico (3 muestras)</w:t>
      </w:r>
    </w:p>
    <w:p w:rsidR="00B7651A" w:rsidRDefault="00000000">
      <w:pPr>
        <w:spacing w:before="80" w:after="80"/>
        <w:jc w:val="both"/>
      </w:pPr>
      <w:r>
        <w:t>Solicitado para identificar presencia de parásitos intestinales como posible causa o factor contribuyente al cuadro clínico de fatiga y malestar general. Resultado: Presencia de quistes de Blastocystis sp escasos en las tres muestras, hallazgo que puede asociarse a síntomas gastrointestinales y fatiga en pacientes susceptibles.</w:t>
      </w:r>
    </w:p>
    <w:p w:rsidR="00B7651A" w:rsidRDefault="00B7651A">
      <w:pPr>
        <w:spacing w:before="60" w:after="60"/>
      </w:pPr>
    </w:p>
    <w:p w:rsidR="00B7651A" w:rsidRDefault="00000000">
      <w:pPr>
        <w:spacing w:before="100" w:after="40"/>
      </w:pPr>
      <w:r>
        <w:rPr>
          <w:b/>
          <w:bCs/>
        </w:rPr>
        <w:t>3. Antígeno Específico de Próstata Total y Fracción Libre (PSA Total y Libre)</w:t>
      </w:r>
    </w:p>
    <w:p w:rsidR="00B7651A" w:rsidRDefault="00000000">
      <w:pPr>
        <w:spacing w:before="80" w:after="80"/>
        <w:jc w:val="both"/>
      </w:pPr>
      <w:r>
        <w:t>Este marcador tumoral fue incluido en el panel diagnóstico integral por indicación médica, con el propósito de realizar un tamizaje oncológico en el contexto de la evaluación de salud del paciente. El PSA forma parte del protocolo</w:t>
      </w:r>
      <w:r w:rsidR="00670937">
        <w:t xml:space="preserve"> </w:t>
      </w:r>
      <w:r>
        <w:t>preventiv</w:t>
      </w:r>
      <w:r w:rsidR="00670937">
        <w:t>o</w:t>
      </w:r>
      <w:r>
        <w:t xml:space="preserve"> para hombres mayores de 30 años, especialmente en presencia de alteraciones hormonales (testosterona, DHEA, prolactina elevada) que pudieran relacionarse con patología prostática. Resultado: PSA Total 0.75 ng/mL (dentro del rango de referencia: 0.00-4.00 ng/mL). PSA Libre: 0.20 ng/mL. No se identificó patología prostática.</w:t>
      </w:r>
    </w:p>
    <w:p w:rsidR="00B7651A" w:rsidRDefault="00B7651A">
      <w:pPr>
        <w:spacing w:before="60" w:after="60"/>
      </w:pPr>
    </w:p>
    <w:p w:rsidR="00B7651A" w:rsidRDefault="00000000">
      <w:pPr>
        <w:pBdr>
          <w:bottom w:val="single" w:sz="6" w:space="1" w:color="1F4E79"/>
        </w:pBdr>
        <w:spacing w:before="280" w:after="100"/>
      </w:pPr>
      <w:r>
        <w:rPr>
          <w:b/>
          <w:bCs/>
          <w:color w:val="1F4E79"/>
          <w:sz w:val="26"/>
          <w:szCs w:val="26"/>
        </w:rPr>
        <w:t>VII. CONCLUSIÓN</w:t>
      </w:r>
    </w:p>
    <w:p w:rsidR="00B7651A" w:rsidRDefault="00000000">
      <w:pPr>
        <w:spacing w:before="80" w:after="80"/>
        <w:jc w:val="both"/>
      </w:pPr>
      <w:r>
        <w:t>En virtud de lo anteriormente expuesto, el suscrito médico tratante hace constar que la totalidad de los estudios de laboratorio realizados en Vitage Laboratorios Especializados corresponden a estudios de diagnóstico clínico, solicitados con finalidad médica específica y debidamente justificada, en el contexto del proceso diagnóstico del padecimiento que presentó el paciente Mauricio Doria Ortiz. Ninguno de los estudios referidos constituye un "chequeo preventivo de rutina", sino que fueron herramientas diagnósticas clínicamente necesarias para el establecimiento del diagnóstico de Hipotiroidismo Periférico por polimorfismo genético DIO2 (genotipo CC), así como para la exclusión de diagnósticos diferenciales y la orientación del tratamiento.</w:t>
      </w:r>
    </w:p>
    <w:p w:rsidR="00B7651A" w:rsidRDefault="00B7651A">
      <w:pPr>
        <w:spacing w:before="60" w:after="60"/>
      </w:pPr>
    </w:p>
    <w:p w:rsidR="00B7651A" w:rsidRDefault="00000000">
      <w:pPr>
        <w:spacing w:before="80" w:after="80"/>
        <w:jc w:val="both"/>
      </w:pPr>
      <w:r>
        <w:t>El paciente se encuentra actualmente en tratamiento médico con evolución favorable, bajo seguimiento continuo por esta consulta.</w:t>
      </w:r>
    </w:p>
    <w:p w:rsidR="00B7651A" w:rsidRDefault="00B7651A">
      <w:pPr>
        <w:spacing w:before="60" w:after="60"/>
      </w:pPr>
    </w:p>
    <w:p w:rsidR="00B7651A" w:rsidRDefault="00B7651A">
      <w:pPr>
        <w:spacing w:before="60" w:after="60"/>
      </w:pPr>
    </w:p>
    <w:p w:rsidR="00B7651A" w:rsidRDefault="00B7651A">
      <w:pPr>
        <w:spacing w:before="60" w:after="60"/>
      </w:pPr>
    </w:p>
    <w:p w:rsidR="0008472A" w:rsidRDefault="00000000" w:rsidP="0008472A">
      <w:pPr>
        <w:spacing w:before="200" w:after="60"/>
      </w:pPr>
      <w:r>
        <w:t xml:space="preserve">Ciudad de México, a </w:t>
      </w:r>
      <w:r w:rsidR="0008472A">
        <w:t>13</w:t>
      </w:r>
      <w:r>
        <w:t xml:space="preserve"> de</w:t>
      </w:r>
      <w:r w:rsidR="0008472A">
        <w:t xml:space="preserve"> Mayo </w:t>
      </w:r>
      <w:r>
        <w:t>de 2026</w:t>
      </w:r>
    </w:p>
    <w:p w:rsidR="0008472A" w:rsidRDefault="0008472A" w:rsidP="0008472A">
      <w:pPr>
        <w:spacing w:before="200" w:after="60"/>
      </w:pPr>
    </w:p>
    <w:p w:rsidR="0008472A" w:rsidRDefault="0008472A" w:rsidP="0008472A">
      <w:pPr>
        <w:spacing w:before="200" w:after="60"/>
      </w:pPr>
    </w:p>
    <w:p w:rsidR="00B7651A" w:rsidRDefault="00000000" w:rsidP="0008472A">
      <w:pPr>
        <w:spacing w:before="200" w:after="60"/>
      </w:pPr>
      <w:r>
        <w:rPr>
          <w:b/>
          <w:bCs/>
        </w:rPr>
        <w:t>Dr. Sergio Hernández Gutiérrez</w:t>
      </w:r>
    </w:p>
    <w:p w:rsidR="00B7651A" w:rsidRDefault="00000000">
      <w:pPr>
        <w:spacing w:before="80" w:after="80"/>
      </w:pPr>
      <w:r>
        <w:t>Médico General / Nutrición y Medicina Funcional</w:t>
      </w:r>
    </w:p>
    <w:p w:rsidR="00B7651A" w:rsidRDefault="00000000">
      <w:pPr>
        <w:spacing w:before="80" w:after="80"/>
      </w:pPr>
      <w:r>
        <w:t>Cédula Profesional: 6175755</w:t>
      </w:r>
    </w:p>
    <w:p w:rsidR="00B7651A" w:rsidRDefault="00000000">
      <w:pPr>
        <w:spacing w:before="80" w:after="80"/>
      </w:pPr>
      <w:r>
        <w:t>RFC: HEG5840517 PL2</w:t>
      </w:r>
    </w:p>
    <w:p w:rsidR="00B7651A" w:rsidRDefault="00000000">
      <w:pPr>
        <w:spacing w:before="80" w:after="80"/>
      </w:pPr>
      <w:r>
        <w:t>Tel: 55 85 67 1110 | Cel: 55 2755 2329</w:t>
      </w:r>
    </w:p>
    <w:p w:rsidR="00B7651A" w:rsidRDefault="00000000">
      <w:pPr>
        <w:spacing w:before="80" w:after="80"/>
      </w:pPr>
      <w:r>
        <w:t>drsergio@nutricionymedicinafuncional.mx</w:t>
      </w:r>
    </w:p>
    <w:p w:rsidR="00B7651A" w:rsidRDefault="00B7651A">
      <w:pPr>
        <w:spacing w:before="60" w:after="60"/>
      </w:pPr>
    </w:p>
    <w:p w:rsidR="00B7651A" w:rsidRDefault="00B7651A">
      <w:pPr>
        <w:spacing w:before="80" w:after="80"/>
      </w:pPr>
    </w:p>
    <w:sectPr w:rsidR="00B7651A">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A22802"/>
    <w:multiLevelType w:val="hybridMultilevel"/>
    <w:tmpl w:val="21122046"/>
    <w:lvl w:ilvl="0" w:tplc="8AEC2A96">
      <w:start w:val="1"/>
      <w:numFmt w:val="bullet"/>
      <w:lvlText w:val="●"/>
      <w:lvlJc w:val="left"/>
      <w:pPr>
        <w:ind w:left="720" w:hanging="360"/>
      </w:pPr>
    </w:lvl>
    <w:lvl w:ilvl="1" w:tplc="438009C2">
      <w:start w:val="1"/>
      <w:numFmt w:val="bullet"/>
      <w:lvlText w:val="○"/>
      <w:lvlJc w:val="left"/>
      <w:pPr>
        <w:ind w:left="1440" w:hanging="360"/>
      </w:pPr>
    </w:lvl>
    <w:lvl w:ilvl="2" w:tplc="B978B4D0">
      <w:start w:val="1"/>
      <w:numFmt w:val="bullet"/>
      <w:lvlText w:val="■"/>
      <w:lvlJc w:val="left"/>
      <w:pPr>
        <w:ind w:left="2160" w:hanging="360"/>
      </w:pPr>
    </w:lvl>
    <w:lvl w:ilvl="3" w:tplc="1932F020">
      <w:start w:val="1"/>
      <w:numFmt w:val="bullet"/>
      <w:lvlText w:val="●"/>
      <w:lvlJc w:val="left"/>
      <w:pPr>
        <w:ind w:left="2880" w:hanging="360"/>
      </w:pPr>
    </w:lvl>
    <w:lvl w:ilvl="4" w:tplc="801A0E8C">
      <w:start w:val="1"/>
      <w:numFmt w:val="bullet"/>
      <w:lvlText w:val="○"/>
      <w:lvlJc w:val="left"/>
      <w:pPr>
        <w:ind w:left="3600" w:hanging="360"/>
      </w:pPr>
    </w:lvl>
    <w:lvl w:ilvl="5" w:tplc="5784EC9E">
      <w:start w:val="1"/>
      <w:numFmt w:val="bullet"/>
      <w:lvlText w:val="■"/>
      <w:lvlJc w:val="left"/>
      <w:pPr>
        <w:ind w:left="4320" w:hanging="360"/>
      </w:pPr>
    </w:lvl>
    <w:lvl w:ilvl="6" w:tplc="1094397C">
      <w:start w:val="1"/>
      <w:numFmt w:val="bullet"/>
      <w:lvlText w:val="●"/>
      <w:lvlJc w:val="left"/>
      <w:pPr>
        <w:ind w:left="5040" w:hanging="360"/>
      </w:pPr>
    </w:lvl>
    <w:lvl w:ilvl="7" w:tplc="9790F972">
      <w:start w:val="1"/>
      <w:numFmt w:val="bullet"/>
      <w:lvlText w:val="●"/>
      <w:lvlJc w:val="left"/>
      <w:pPr>
        <w:ind w:left="5760" w:hanging="360"/>
      </w:pPr>
    </w:lvl>
    <w:lvl w:ilvl="8" w:tplc="369EC692">
      <w:start w:val="1"/>
      <w:numFmt w:val="bullet"/>
      <w:lvlText w:val="●"/>
      <w:lvlJc w:val="left"/>
      <w:pPr>
        <w:ind w:left="6480" w:hanging="360"/>
      </w:pPr>
    </w:lvl>
  </w:abstractNum>
  <w:num w:numId="1" w16cid:durableId="195868372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1"/>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651A"/>
    <w:rsid w:val="0008472A"/>
    <w:rsid w:val="001562EF"/>
    <w:rsid w:val="00670937"/>
    <w:rsid w:val="00B7651A"/>
    <w:rsid w:val="00D74214"/>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4:docId w14:val="63EBF8E4"/>
  <w15:docId w15:val="{29D25AC4-808F-9E4C-A619-6D22B4BEE1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1829</Words>
  <Characters>10064</Characters>
  <Application>Microsoft Office Word</Application>
  <DocSecurity>0</DocSecurity>
  <Lines>83</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Office User</cp:lastModifiedBy>
  <cp:revision>2</cp:revision>
  <dcterms:created xsi:type="dcterms:W3CDTF">2026-05-13T18:45:00Z</dcterms:created>
  <dcterms:modified xsi:type="dcterms:W3CDTF">2026-05-13T18:45:00Z</dcterms:modified>
</cp:coreProperties>
</file>