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f81b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f81bd"/>
          <w:sz w:val="32"/>
          <w:szCs w:val="32"/>
          <w:u w:val="none"/>
          <w:shd w:fill="auto" w:val="clear"/>
          <w:vertAlign w:val="baseline"/>
          <w:rtl w:val="0"/>
        </w:rPr>
        <w:t xml:space="preserve">Formato de Pruebas – Desarrollo de App en </w:t>
      </w:r>
      <w:r w:rsidDel="00000000" w:rsidR="00000000" w:rsidRPr="00000000">
        <w:rPr>
          <w:rFonts w:ascii="Calibri" w:cs="Calibri" w:eastAsia="Calibri" w:hAnsi="Calibri"/>
          <w:color w:val="4f81bd"/>
          <w:sz w:val="32"/>
          <w:szCs w:val="32"/>
          <w:rtl w:val="0"/>
        </w:rPr>
        <w:t xml:space="preserve">React Native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1. Información General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del Proyecto: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Aplicacion PSA - Proyectos MEG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Versión de la App: v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Equipo de Desarrollo: Laptop HP</w:t>
        <w:br w:type="textWrapping"/>
        <w:t xml:space="preserve">Fecha de la Prueba: 29/10/2026</w:t>
        <w:br w:type="textWrapping"/>
        <w:t xml:space="preserve">Responsable de la Prueba: Mauricio Estrada De la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Garza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Tipo de Prueba: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(X) Componente  ( ) Integración  ( ) UI  ( ) Rendimiento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2. Objetivo de la Prueba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Validar 12 pruebas unitarias del backend: siete casos de seguridad y cinco de configuración de la base móvil. Comprobar clasificación de rutas, IP, hashes, validación de entradas, respuestas del middleware y separación de bases. Ejecutarlas de forma aislada, sin iniciar la app ni el servidor HTTP y sin conexiones reales a Neon.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3. Entorno de Prueba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VS Code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Lenguaje: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Python 3.13.1 (backend Django)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Simulador utilizado: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utilizado; ejecución en PowerShell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Sistema Operativo del equipo: Windows 11</w:t>
        <w:br w:type="textWrapping"/>
        <w:t xml:space="preserve">Dependencias / APIs: Django 6.1, unittest, RequestFactory y unittest.mock; configuración servidor.mobile_test_settings; entorno virtual backend/.venv. No se consumieron APIs externas.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4. Descripción del Módulo o Funcionalidad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evalúan dos módulos del backend de Aplicacion PSA - Proyectos MEG:</w:t>
        <w:br w:type="textWrapping"/>
        <w:t xml:space="preserve">server.test_seguridad: funciones y middleware de seguridad del sistema original conservado en el backend, con rutas de login y reseñas.</w:t>
        <w:br w:type="textWrapping"/>
        <w:t xml:space="preserve">movil.tests_database_config: validación de URL, separación entre la base móvil y la original, decodificación de contraseña y configuración TLS/timeout. Las URL y credenciales de estos casos son ficticias.</w:t>
        <w:br w:type="textWrapping"/>
        <w:t xml:space="preserve">Se utiliza RequestFactory para solicitudes locales y mocks donde corresponde. Las bases default y movil no se utilizan; Django omitió su preparación. No se evalúan pantallas de React Native en esta ejecución.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5. Casos de Prueba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de Prueba #1</w:t>
        <w:br w:type="textWrapping"/>
        <w:t xml:space="preserve">ID: CP-01</w:t>
        <w:br w:type="textWrapping"/>
        <w:t xml:space="preserve">Nombre: test_codigo_hash_no_coincide_con_otro_codigo_ni_id</w:t>
        <w:br w:type="textWrapping"/>
        <w:t xml:space="preserve">Descripción: Verificar que el hash dependa del código y del identificador.</w:t>
        <w:br w:type="textWrapping"/>
        <w:t xml:space="preserve">Precondiciones: Clave secreta fija de prueba y un identificador UUID.</w:t>
        <w:br w:type="textWrapping"/>
        <w:t xml:space="preserve">Datos de entrada: Códigos 123456 y 123457; dos UUID distintos.</w:t>
        <w:br w:type="textWrapping"/>
        <w:t xml:space="preserve">Pasos a ejecutar:</w:t>
        <w:br w:type="textWrapping"/>
        <w:t xml:space="preserve">1. Calcular dos veces el hash del mismo UUID y código 123456.</w:t>
        <w:br w:type="textWrapping"/>
        <w:t xml:space="preserve">2. Recalcular con el código 123457 y después con otro UUID.</w:t>
        <w:br w:type="textWrapping"/>
        <w:t xml:space="preserve">3. Comparar los hashes mediante las aserciones de la prueba.</w:t>
        <w:br w:type="textWrapping"/>
        <w:t xml:space="preserve">Resultado esperado: Las entradas iguales producen el mismo hash; cambiar el código o el UUID produce hashes distintos en los casos evaluados.</w:t>
        <w:br w:type="textWrapping"/>
        <w:t xml:space="preserve">Resultado obtenido: Se cumplieron las tres comparaciones; la consola reportó ok.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Estado: (X) Aprobado  ( ) Fallido</w:t>
        <w:br w:type="textWrapping"/>
        <w:t xml:space="preserve">Evidencia: E-01, resultado ok del caso CP-01 en el registro de consola de la sección 9.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de Prueba #2</w:t>
        <w:br w:type="textWrapping"/>
        <w:t xml:space="preserve">ID: CP-02</w:t>
        <w:br w:type="textWrapping"/>
        <w:t xml:space="preserve">Nombre: test_health_get_sin_limitador</w:t>
        <w:br w:type="textWrapping"/>
        <w:t xml:space="preserve">Descripción: Comprobar que una consulta de salud atraviese el middleware sin ser bloqueada.</w:t>
        <w:br w:type="textWrapping"/>
        <w:t xml:space="preserve">Precondiciones: Limitador activado; respuesta final simulada HttpResponse('ok').</w:t>
        <w:br w:type="textWrapping"/>
        <w:t xml:space="preserve">Datos de entrada: Solicitud GET simulada a /api/health/.</w:t>
        <w:br w:type="textWrapping"/>
        <w:t xml:space="preserve">Pasos a ejecutar:</w:t>
        <w:br w:type="textWrapping"/>
        <w:t xml:space="preserve">1. Construir la solicitud con RequestFactory.</w:t>
        <w:br w:type="textWrapping"/>
        <w:t xml:space="preserve">2. Pasarla a SeguridadAPIMiddleware.</w:t>
        <w:br w:type="textWrapping"/>
        <w:t xml:space="preserve">3. Comprobar el código HTTP de la respuesta.</w:t>
        <w:br w:type="textWrapping"/>
        <w:t xml:space="preserve">Resultado esperado: HTTP 200. Se evalúa el paso por el middleware, no la disponibilidad real de los servicios.</w:t>
        <w:br w:type="textWrapping"/>
        <w:t xml:space="preserve">Resultado obtenido: La respuesta conservó HTTP 200; la consola reportó ok.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Estado: (X) Aprobado  ( ) Fallido</w:t>
        <w:br w:type="textWrapping"/>
        <w:t xml:space="preserve">Evidencia: E-01, resultado ok del caso CP-02 en el registro de consola de la sección 9.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de Prueba #3</w:t>
        <w:br w:type="textWrapping"/>
        <w:t xml:space="preserve">ID: CP-03</w:t>
        <w:br w:type="textWrapping"/>
        <w:t xml:space="preserve">Nombre: test_limite_devuelve_429</w:t>
        <w:br w:type="textWrapping"/>
        <w:t xml:space="preserve">Descripción: Validar la respuesta cuando el limitador informa que se excedió el límite.</w:t>
        <w:br w:type="textWrapping"/>
        <w:t xml:space="preserve">Precondiciones: Limitador activado; conexiones y _aplicar_limites simulados con unittest.mock.</w:t>
        <w:br w:type="textWrapping"/>
        <w:t xml:space="preserve">Datos de entrada: POST a /api/sistema/login/ con JSON {"usuario":"prueba","contrasena":"clave"}; limitador: (True, 900).</w:t>
        <w:br w:type="textWrapping"/>
        <w:t xml:space="preserve">Pasos a ejecutar:</w:t>
        <w:br w:type="textWrapping"/>
        <w:t xml:space="preserve">1. Simular el alias neon y un bloqueo de 900 segundos.</w:t>
        <w:br w:type="textWrapping"/>
        <w:t xml:space="preserve">2. Procesar el POST con el middleware de seguridad.</w:t>
        <w:br w:type="textWrapping"/>
        <w:t xml:space="preserve">3. Comparar el estado HTTP y la cabecera Retry-After.</w:t>
        <w:br w:type="textWrapping"/>
        <w:t xml:space="preserve">Resultado esperado: HTTP 429 y Retry-After: 900; no se evalúa el conteo real de solicitudes.</w:t>
        <w:br w:type="textWrapping"/>
        <w:t xml:space="preserve">Resultado obtenido: Se obtuvo HTTP 429 y Retry-After: 900; la consola reportó ok.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Estado: (X) Aprobado  ( ) Fallido</w:t>
        <w:br w:type="textWrapping"/>
        <w:t xml:space="preserve">Evidencia: E-01, resultado ok del caso CP-03 en el registro de consola de la sección 9.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de Prueba #4</w:t>
        <w:br w:type="textWrapping"/>
        <w:t xml:space="preserve">ID: CP-04</w:t>
        <w:br w:type="textWrapping"/>
        <w:t xml:space="preserve">Nombre: test_no_confia_en_x_forwarded_for_del_cliente</w:t>
        <w:br w:type="textWrapping"/>
        <w:t xml:space="preserve">Descripción: Validar la selección de la IP cuando no existe una cabecera de proxy confiable configurada.</w:t>
        <w:br w:type="textWrapping"/>
        <w:t xml:space="preserve">Precondiciones: TRUSTED_CLIENT_IP_HEADER configurado como cadena vacía.</w:t>
        <w:br w:type="textWrapping"/>
        <w:t xml:space="preserve">Datos de entrada: X-Forwarded-For: 3.4.5.6; REMOTE_ADDR: 127.0.0.1.</w:t>
        <w:br w:type="textWrapping"/>
        <w:t xml:space="preserve">Pasos a ejecutar:</w:t>
        <w:br w:type="textWrapping"/>
        <w:t xml:space="preserve">1. Crear una solicitud GET con ambas direcciones.</w:t>
        <w:br w:type="textWrapping"/>
        <w:t xml:space="preserve">2. Obtener la dirección mediante _ip_cliente.</w:t>
        <w:br w:type="textWrapping"/>
        <w:t xml:space="preserve">3. Comparar el resultado con REMOTE_ADDR.</w:t>
        <w:br w:type="textWrapping"/>
        <w:t xml:space="preserve">Resultado esperado: Devuelve 127.0.0.1 e ignora la dirección declarada en X-Forwarded-For.</w:t>
        <w:br w:type="textWrapping"/>
        <w:t xml:space="preserve">Resultado obtenido: La función devolvió 127.0.0.1; la consola reportó ok.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Estado: (X) Aprobado  ( ) Fallido</w:t>
        <w:br w:type="textWrapping"/>
        <w:t xml:space="preserve">Evidencia: E-01, resultado ok del caso CP-04 en el registro de consola de la sección 9.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de Prueba #5</w:t>
        <w:br w:type="textWrapping"/>
        <w:t xml:space="preserve">ID: CP-05</w:t>
        <w:br w:type="textWrapping"/>
        <w:t xml:space="preserve">Nombre: test_peticion_muy_grande_se_rechaza_antes_de_neon</w:t>
        <w:br w:type="textWrapping"/>
        <w:t xml:space="preserve">Descripción: Comprobar el rechazo de un cuerpo de solicitud demasiado grande.</w:t>
        <w:br w:type="textWrapping"/>
        <w:t xml:space="preserve">Precondiciones: Limitador activado; solicitud construida con RequestFactory.</w:t>
        <w:br w:type="textWrapping"/>
        <w:t xml:space="preserve">Datos de entrada: POST a /api/resenas/; cuerpo de 17 000 caracteres x; tipo application/json.</w:t>
        <w:br w:type="textWrapping"/>
        <w:t xml:space="preserve">Pasos a ejecutar:</w:t>
        <w:br w:type="textWrapping"/>
        <w:t xml:space="preserve">1. Construir el POST con el cuerpo indicado.</w:t>
        <w:br w:type="textWrapping"/>
        <w:t xml:space="preserve">2. Procesar la solicitud mediante el middleware.</w:t>
        <w:br w:type="textWrapping"/>
        <w:t xml:space="preserve">3. Verificar que la respuesta tenga el estado esperado.</w:t>
        <w:br w:type="textWrapping"/>
        <w:t xml:space="preserve">Resultado esperado: HTTP 413 por exceder el tamaño permitido de la solicitud.</w:t>
        <w:br w:type="textWrapping"/>
        <w:t xml:space="preserve">Resultado obtenido: El middleware devolvió HTTP 413; la consola reportó ok.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Estado: (X) Aprobado  ( ) Fallido</w:t>
        <w:br w:type="textWrapping"/>
        <w:t xml:space="preserve">Evidencia: E-01, resultado ok del caso CP-05 en el registro de consola de la sección 9.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de Prueba #6</w:t>
        <w:br w:type="textWrapping"/>
        <w:t xml:space="preserve">ID: CP-06</w:t>
        <w:br w:type="textWrapping"/>
        <w:t xml:space="preserve">Nombre: test_rutas_sensibles_protegidas</w:t>
        <w:br w:type="textWrapping"/>
        <w:t xml:space="preserve">Descripción: Comprobar la clasificación de rutas usada por las reglas de seguridad.</w:t>
        <w:br w:type="textWrapping"/>
        <w:t xml:space="preserve">Precondiciones: Función _tipo_endpoint disponible en el entorno de pruebas.</w:t>
        <w:br w:type="textWrapping"/>
        <w:t xml:space="preserve">Datos de entrada: Rutas /api/sistema/login/, /api/resenas/, /api/resenas/verificar/ y /api/resenas/publicas/.</w:t>
        <w:br w:type="textWrapping"/>
        <w:t xml:space="preserve">Pasos a ejecutar:</w:t>
        <w:br w:type="textWrapping"/>
        <w:t xml:space="preserve">1. Enviar cada ruta a _tipo_endpoint.</w:t>
        <w:br w:type="textWrapping"/>
        <w:t xml:space="preserve">2. Recuperar la clasificación de cada una.</w:t>
        <w:br w:type="textWrapping"/>
        <w:t xml:space="preserve">3. Comparar los cuatro resultados con los valores esperados.</w:t>
        <w:br w:type="textWrapping"/>
        <w:t xml:space="preserve">Resultado esperado: login, resena, confirmar_resena y None, respectivamente; se comprueba clasificación, no autenticación completa.</w:t>
        <w:br w:type="textWrapping"/>
        <w:t xml:space="preserve">Resultado obtenido: Coincidieron las cuatro clasificaciones; la consola reportó ok.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Estado: (X) Aprobado  ( ) Fallido</w:t>
        <w:br w:type="textWrapping"/>
        <w:t xml:space="preserve">Evidencia: E-01, resultado ok del caso CP-06 en el registro de consola de la sección 9.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de Prueba #7</w:t>
        <w:br w:type="textWrapping"/>
        <w:t xml:space="preserve">ID: CP-07</w:t>
        <w:br w:type="textWrapping"/>
        <w:t xml:space="preserve">Nombre: test_validacion_rechaza_valor_no_texto</w:t>
        <w:br w:type="textWrapping"/>
        <w:t xml:space="preserve">Descripción: Verificar que un campo de texto rechace una lista.</w:t>
        <w:br w:type="textWrapping"/>
        <w:t xml:space="preserve">Precondiciones: Función _texto disponible; nombre obligatorio con longitud máxima de 70.</w:t>
        <w:br w:type="textWrapping"/>
        <w:t xml:space="preserve">Datos de entrada: Diccionario {'nombre': ['malicioso']}.</w:t>
        <w:br w:type="textWrapping"/>
        <w:t xml:space="preserve">Pasos a ejecutar:</w:t>
        <w:br w:type="textWrapping"/>
        <w:t xml:space="preserve">1. Preparar el campo nombre con una lista como valor.</w:t>
        <w:br w:type="textWrapping"/>
        <w:t xml:space="preserve">2. Invocar _texto(datos, 'nombre', 70, True).</w:t>
        <w:br w:type="textWrapping"/>
        <w:t xml:space="preserve">3. Comprobar con assertRaises que se lance ValueError.</w:t>
        <w:br w:type="textWrapping"/>
        <w:t xml:space="preserve">Resultado esperado: Se lanza ValueError porque el valor no es texto.</w:t>
        <w:br w:type="textWrapping"/>
        <w:t xml:space="preserve">Resultado obtenido: Se produjo la excepción esperada; la consola reportó ok.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Estado: (X) Aprobado  ( ) Fallido</w:t>
        <w:br w:type="textWrapping"/>
        <w:t xml:space="preserve">Evidencia: E-01, resultado ok del caso CP-07 en el registro de consola de la sección 9.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de Prueba #8</w:t>
        <w:br w:type="textWrapping"/>
        <w:t xml:space="preserve">ID: CP-08</w:t>
        <w:br w:type="textWrapping"/>
        <w:t xml:space="preserve">Nombre: test_acepta_base_distinta_y_fuerza_tls</w:t>
        <w:br w:type="textWrapping"/>
        <w:t xml:space="preserve">Descripción: Validar la configuración de una base móvil diferente y la exigencia de TLS.</w:t>
        <w:br w:type="textWrapping"/>
        <w:t xml:space="preserve">Precondiciones: URL ficticias; función configuracion_neon_movil; no se abre ninguna conexión.</w:t>
        <w:br w:type="textWrapping"/>
        <w:t xml:space="preserve">Datos de entrada: Móvil: base mobile, usuario mobile, contraseña encoded%40password y sslmode=disable; original: base web en el mismo destino Neon.</w:t>
        <w:br w:type="textWrapping"/>
        <w:t xml:space="preserve">Pasos a ejecutar:</w:t>
        <w:br w:type="textWrapping"/>
        <w:t xml:space="preserve">1. Pasar las URL de las bases mobile y web a la función.</w:t>
        <w:br w:type="textWrapping"/>
        <w:t xml:space="preserve">2. Obtener el diccionario de configuración.</w:t>
        <w:br w:type="textWrapping"/>
        <w:t xml:space="preserve">3. Comparar nombre, contraseña, motor, TLS y timeout.</w:t>
        <w:br w:type="textWrapping"/>
        <w:t xml:space="preserve">Resultado esperado: NAME=mobile; PASSWORD=encoded@password; ENGINE=django.db.backends.postgresql; sslmode=require; connect_timeout=8.</w:t>
        <w:br w:type="textWrapping"/>
        <w:t xml:space="preserve">Resultado obtenido: Coincidieron los cinco valores; la consola reportó ok. Se validó la configuración, no una conexión TLS real.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Estado: (X) Aprobado  ( ) Fallido</w:t>
        <w:br w:type="textWrapping"/>
        <w:t xml:space="preserve">Evidencia: E-01, resultado ok del caso CP-08 en el registro de consola de la sección 9.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de Prueba #9</w:t>
        <w:br w:type="textWrapping"/>
        <w:t xml:space="preserve">ID: CP-09</w:t>
        <w:br w:type="textWrapping"/>
        <w:t xml:space="preserve">Nombre: test_no_fallback_cuando_falta_url_movil</w:t>
        <w:br w:type="textWrapping"/>
        <w:t xml:space="preserve">Descripción: Comprobar que la falta de URL móvil no reutilice la base del sistema original.</w:t>
        <w:br w:type="textWrapping"/>
        <w:t xml:space="preserve">Precondiciones: URL original ficticia válida; URL móvil vacía.</w:t>
        <w:br w:type="textWrapping"/>
        <w:t xml:space="preserve">Datos de entrada: URL móvil: ''; URL original: postgresql://user:pass@original.neon.tech/web.</w:t>
        <w:br w:type="textWrapping"/>
        <w:t xml:space="preserve">Pasos a ejecutar:</w:t>
        <w:br w:type="textWrapping"/>
        <w:t xml:space="preserve">1. Preparar ambas URL con la móvil vacía.</w:t>
        <w:br w:type="textWrapping"/>
        <w:t xml:space="preserve">2. Invocar configuracion_neon_movil.</w:t>
        <w:br w:type="textWrapping"/>
        <w:t xml:space="preserve">3. Verificar con assertIsNone que el resultado sea None.</w:t>
        <w:br w:type="textWrapping"/>
        <w:t xml:space="preserve">Resultado esperado: Devuelve None y no genera una configuración de respaldo con la base original.</w:t>
        <w:br w:type="textWrapping"/>
        <w:t xml:space="preserve">Resultado obtenido: La función devolvió None; la consola reportó ok.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Estado: (X) Aprobado  ( ) Fallido</w:t>
        <w:br w:type="textWrapping"/>
        <w:t xml:space="preserve">Evidencia: E-01, resultado ok del caso CP-09 en el registro de consola de la sección 9.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de Prueba #10</w:t>
        <w:br w:type="textWrapping"/>
        <w:t xml:space="preserve">ID: CP-10</w:t>
        <w:br w:type="textWrapping"/>
        <w:t xml:space="preserve">Nombre: test_rechaza_la_misma_base_con_alias_pooler_neon</w:t>
        <w:br w:type="textWrapping"/>
        <w:t xml:space="preserve">Descripción: Detectar la misma base aunque una URL use el alias pooler de Neon.</w:t>
        <w:br w:type="textWrapping"/>
        <w:t xml:space="preserve">Precondiciones: URL ficticias para la base web, con host directo y host pooler.</w:t>
        <w:br w:type="textWrapping"/>
        <w:t xml:space="preserve">Datos de entrada: Hosts ep-example-pooler.us-east-2.aws.neon.tech y ep-example.us-east-2.aws.neon.tech; ambos con base web.</w:t>
        <w:br w:type="textWrapping"/>
        <w:t xml:space="preserve">Pasos a ejecutar:</w:t>
        <w:br w:type="textWrapping"/>
        <w:t xml:space="preserve">1. Asignar el host pooler a la URL móvil y el directo a la original.</w:t>
        <w:br w:type="textWrapping"/>
        <w:t xml:space="preserve">2. Invocar configuracion_neon_movil con ambas URL.</w:t>
        <w:br w:type="textWrapping"/>
        <w:t xml:space="preserve">3. Comprobar ValueError y el fragmento 'base distinta' en su mensaje.</w:t>
        <w:br w:type="textWrapping"/>
        <w:t xml:space="preserve">Resultado esperado: Rechaza la configuración con ValueError y un mensaje que contiene 'base distinta'.</w:t>
        <w:br w:type="textWrapping"/>
        <w:t xml:space="preserve">Resultado obtenido: Se obtuvo la excepción y el mensaje esperados; la consola reportó ok.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Estado: (X) Aprobado  ( ) Fallido</w:t>
        <w:br w:type="textWrapping"/>
        <w:t xml:space="preserve">Evidencia: E-01, resultado ok del caso CP-10 en el registro de consola de la sección 9.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de Prueba #11</w:t>
        <w:br w:type="textWrapping"/>
        <w:t xml:space="preserve">ID: CP-11</w:t>
        <w:br w:type="textWrapping"/>
        <w:t xml:space="preserve">Nombre: test_rechaza_misma_base_con_credenciales_o_parametros_distintos</w:t>
        <w:br w:type="textWrapping"/>
        <w:t xml:space="preserve">Descripción: Impedir que diferentes credenciales o parámetros oculten el uso de la misma base.</w:t>
        <w:br w:type="textWrapping"/>
        <w:t xml:space="preserve">Precondiciones: URL ficticias con el mismo host ep-example.neon.tech y base web.</w:t>
        <w:br w:type="textWrapping"/>
        <w:t xml:space="preserve">Datos de entrada: URL móvil postgres con usuario mobile, puerto 5432 y sslmode=require; URL original postgresql con usuario web y puerto implícito.</w:t>
        <w:br w:type="textWrapping"/>
        <w:t xml:space="preserve">Pasos a ejecutar:</w:t>
        <w:br w:type="textWrapping"/>
        <w:t xml:space="preserve">1. Preparar las dos URL con credenciales diferentes.</w:t>
        <w:br w:type="textWrapping"/>
        <w:t xml:space="preserve">2. Invocar configuracion_neon_movil.</w:t>
        <w:br w:type="textWrapping"/>
        <w:t xml:space="preserve">3. Comprobar ValueError y el fragmento 'base distinta' en su mensaje.</w:t>
        <w:br w:type="textWrapping"/>
        <w:t xml:space="preserve">Resultado esperado: Rechaza la configuración con ValueError y un mensaje que contiene 'base distinta'.</w:t>
        <w:br w:type="textWrapping"/>
        <w:t xml:space="preserve">Resultado obtenido: Se obtuvo la excepción y el mensaje esperados; la consola reportó ok.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Estado: (X) Aprobado  ( ) Fallido</w:t>
        <w:br w:type="textWrapping"/>
        <w:t xml:space="preserve">Evidencia: E-01, resultado ok del caso CP-11 en el registro de consola de la sección 9.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de Prueba #12</w:t>
        <w:br w:type="textWrapping"/>
        <w:t xml:space="preserve">ID: CP-12</w:t>
        <w:br w:type="textWrapping"/>
        <w:t xml:space="preserve">Nombre: test_rechaza_url_incompleta_o_esquema_incorrecto</w:t>
        <w:br w:type="textWrapping"/>
        <w:t xml:space="preserve">Descripción: Validar el rechazo de URL incompletas o con un esquema no admitido.</w:t>
        <w:br w:type="textWrapping"/>
        <w:t xml:space="preserve">Precondiciones: Función configuracion_neon_movil; subcasos ejecutados con subTest.</w:t>
        <w:br w:type="textWrapping"/>
        <w:t xml:space="preserve">Datos de entrada: https://example.com/db; postgresql://host; postgresql:///db.</w:t>
        <w:br w:type="textWrapping"/>
        <w:t xml:space="preserve">Pasos a ejecutar:</w:t>
        <w:br w:type="textWrapping"/>
        <w:t xml:space="preserve">1. Preparar las tres URL inválidas.</w:t>
        <w:br w:type="textWrapping"/>
        <w:t xml:space="preserve">2. Invocar la función con cada URL por separado.</w:t>
        <w:br w:type="textWrapping"/>
        <w:t xml:space="preserve">3. Comprobar que cada invocación lance ValueError.</w:t>
        <w:br w:type="textWrapping"/>
        <w:t xml:space="preserve">Resultado esperado: ValueError en los tres subcasos, que forman una sola prueba.</w:t>
        <w:br w:type="textWrapping"/>
        <w:t xml:space="preserve">Resultado obtenido: Las tres entradas fueron rechazadas; la consola reportó ok.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Estado: (X) Aprobado  ( ) Fallido</w:t>
        <w:br w:type="textWrapping"/>
        <w:t xml:space="preserve">Evidencia: E-01, resultado ok del caso CP-12 en el registro de consola de la sección 9.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6. Pruebas de Integración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Módulos involucrados: No aplica; esta ejecución seleccionó únicamente server.test_seguridad y movil.tests_database_config como pruebas unitarias.</w:t>
        <w:br w:type="textWrapping"/>
        <w:t xml:space="preserve">Flujo probado: No se ejecutaron flujos de integración entre app, API y base de datos.</w:t>
        <w:br w:type="textWrapping"/>
        <w:t xml:space="preserve">Resultado esperado: No definido para integración en esta ejecución.</w:t>
        <w:br w:type="textWrapping"/>
        <w:t xml:space="preserve">Resultado obtenido: No ejecutado; los 12 resultados aprobados corresponden a los casos unitarios de la sección 5.</w:t>
        <w:br w:type="textWrapping"/>
        <w:t xml:space="preserve">Errores detectados: No evaluados para integración.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7. Pruebas en Simulador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Dispositivos probados: Ninguno; las pruebas se ejecutaron en PowerShell.</w:t>
        <w:br w:type="textWrapping"/>
        <w:t xml:space="preserve">Resoluciones: No aplica.</w:t>
        <w:br w:type="textWrapping"/>
        <w:t xml:space="preserve">Orientación: No aplica.</w:t>
        <w:br w:type="textWrapping"/>
        <w:t xml:space="preserve">Comportamiento observado: No se ejecutó la app en emulador ni dispositivo físico; no se evaluaron interfaz, navegación ni adaptación de pantalla.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8. Registro de Errores (Bug Tracking)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3064"/>
        <w:gridCol w:w="1672"/>
        <w:gridCol w:w="1566"/>
        <w:gridCol w:w="1340"/>
        <w:tblGridChange w:id="0">
          <w:tblGrid>
            <w:gridCol w:w="988"/>
            <w:gridCol w:w="3064"/>
            <w:gridCol w:w="1672"/>
            <w:gridCol w:w="1566"/>
            <w:gridCol w:w="1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Severidad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Solución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20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 fallos en los 12 casos ejecutados.</w:t>
            </w:r>
          </w:p>
        </w:tc>
        <w:tc>
          <w:tcPr/>
          <w:p w:rsidR="00000000" w:rsidDel="00000000" w:rsidP="00000000" w:rsidRDefault="00000000" w:rsidRPr="00000000" w14:paraId="00002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2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 incidencias</w:t>
            </w:r>
          </w:p>
        </w:tc>
        <w:tc>
          <w:tcPr/>
          <w:p w:rsidR="00000000" w:rsidDel="00000000" w:rsidP="00000000" w:rsidRDefault="00000000" w:rsidRPr="00000000" w14:paraId="00002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requerida.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9. Evidencias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E-01. Registro textual de la ejecución proporcionado por el responsable.</w:t>
        <w:br w:type="textWrapping"/>
        <w:t xml:space="preserve">Fecha de la prueba: 29/10/2026, según la información general del formato.</w:t>
        <w:br w:type="textWrapping"/>
        <w:t xml:space="preserve">Comando ejecutado desde la raíz del proyecto:</w:t>
        <w:br w:type="textWrapping"/>
        <w:t xml:space="preserve">.\backend\.venv\Scripts\python.exe backend/servidor/manage.py test server.test_seguridad movil.tests_database_config --settings=servidor.mobile_test_settings --noinput --verbosity 2</w:t>
        <w:br w:type="textWrapping"/>
        <w:t xml:space="preserve"/>
        <w:br w:type="textWrapping"/>
        <w:t xml:space="preserve">Found 12 test(s).</w:t>
        <w:br w:type="textWrapping"/>
        <w:t xml:space="preserve">Skipping setup of unused database(s): default, movil.</w:t>
        <w:br w:type="textWrapping"/>
        <w:t xml:space="preserve">System check identified no issues (0 silenced).</w:t>
        <w:br w:type="textWrapping"/>
        <w:t xml:space="preserve">test_codigo_hash_no_coincide_con_otro_codigo_ni_id (server.test_seguridad.SeguridadAPIPruebas.test_codigo_hash_no_coincide_con_otro_codigo_ni_id) ... ok</w:t>
        <w:br w:type="textWrapping"/>
        <w:t xml:space="preserve">test_health_get_sin_limitador (server.test_seguridad.SeguridadAPIPruebas.test_health_get_sin_limitador) ... ok</w:t>
        <w:br w:type="textWrapping"/>
        <w:t xml:space="preserve">test_limite_devuelve_429 (server.test_seguridad.SeguridadAPIPruebas.test_limite_devuelve_429) ... ok</w:t>
        <w:br w:type="textWrapping"/>
        <w:t xml:space="preserve">test_no_confia_en_x_forwarded_for_del_cliente (server.test_seguridad.SeguridadAPIPruebas.test_no_confia_en_x_forwarded_for_del_cliente) ... ok</w:t>
        <w:br w:type="textWrapping"/>
        <w:t xml:space="preserve">test_peticion_muy_grande_se_rechaza_antes_de_neon (server.test_seguridad.SeguridadAPIPruebas.test_peticion_muy_grande_se_rechaza_antes_de_neon) ... ok</w:t>
        <w:br w:type="textWrapping"/>
        <w:t xml:space="preserve">test_rutas_sensibles_protegidas (server.test_seguridad.SeguridadAPIPruebas.test_rutas_sensibles_protegidas) ... ok</w:t>
        <w:br w:type="textWrapping"/>
        <w:t xml:space="preserve">test_validacion_rechaza_valor_no_texto (server.test_seguridad.SeguridadAPIPruebas.test_validacion_rechaza_valor_no_texto) ... ok</w:t>
        <w:br w:type="textWrapping"/>
        <w:t xml:space="preserve">test_acepta_base_distinta_y_fuerza_tls (movil.tests_database_config.DatabaseConfigTests.test_acepta_base_distinta_y_fuerza_tls) ... ok</w:t>
        <w:br w:type="textWrapping"/>
        <w:t xml:space="preserve">test_no_fallback_cuando_falta_url_movil (movil.tests_database_config.DatabaseConfigTests.test_no_fallback_cuando_falta_url_movil) ... ok</w:t>
        <w:br w:type="textWrapping"/>
        <w:t xml:space="preserve">test_rechaza_la_misma_base_con_alias_pooler_neon (movil.tests_database_config.DatabaseConfigTests.test_rechaza_la_misma_base_con_alias_pooler_neon) ... ok</w:t>
        <w:br w:type="textWrapping"/>
        <w:t xml:space="preserve">test_rechaza_misma_base_con_credenciales_o_parametros_distintos (movil.tests_database_config.DatabaseConfigTests.test_rechaza_misma_base_con_credenciales_o_parametros_distintos) ... ok</w:t>
        <w:br w:type="textWrapping"/>
        <w:t xml:space="preserve">test_rechaza_url_incompleta_o_esquema_incorrecto (movil.tests_database_config.DatabaseConfigTests.test_rechaza_url_incompleta_o_esquema_incorrecto) ... ok</w:t>
        <w:br w:type="textWrapping"/>
        <w:t xml:space="preserve"/>
        <w:br w:type="textWrapping"/>
        <w:t xml:space="preserve">----------------------------------------------------------------------</w:t>
        <w:br w:type="textWrapping"/>
        <w:t xml:space="preserve">Ran 12 tests in 0.009s</w:t>
        <w:br w:type="textWrapping"/>
        <w:t xml:space="preserve"/>
        <w:br w:type="textWrapping"/>
        <w:t xml:space="preserve">OK</w:t>
        <w:br w:type="textWrapping"/>
        <w:t xml:space="preserve"/>
        <w:br w:type="textWrapping"/>
        <w:t xml:space="preserve">Resumen: 12 pruebas ejecutadas; 12 aprobadas; 0 fallos; 0 errores. El tiempo de 0.009 s corresponde a la suite completa, no a cada caso.</w:t>
        <w:br w:type="textWrapping"/>
        <w:t xml:space="preserve">Fuente de los casos: backend/servidor/server/test_seguridad.py y backend/servidor/movil/tests_database_config.py.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10. Conclusiones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12 casos unitarios seleccionados fueron aprobados (100 % de los casos ejecutados), sin fallos ni errores. El registro reporta 0.009 s de ejecución y ninguna incidencia en la comprobación del sistema. Se verificaron las aserciones de seguridad y configuración descritas en cada caso, sin iniciar la aplicación ni consultar Neon.</w:t>
        <w:br w:type="textWrapping"/>
        <w:t xml:space="preserve">Estos resultados respaldan los componentes evaluados, pero no representan una cobertura del 100 % del código ni una validación completa de la app. La integración, las pantallas, el rendimiento y la conectividad real no se evaluaron en esta ejecución.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11. Recomendaciones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Conservar este registro como evidencia y repetir los casos al modificar las funciones de seguridad o la configuración de bases.</w:t>
        <w:br w:type="textWrapping"/>
        <w:t xml:space="preserve">Ampliar posteriormente las pruebas con integración de registro, sesiones, roles y aislamiento entre organizaciones.</w:t>
        <w:br w:type="textWrapping"/>
        <w:t xml:space="preserve">Documentar por separado las pruebas de interfaz y navegación en dispositivo o emulador, así como la conectividad real con una base de pruebas. Medir cobertura de código antes de afirmar un porcentaje de cobertura de la aplicación.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