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397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Detecção Automática de Pragas em Plantações de Café Utilizando Redes Neurais Convolucionais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Eduardo Honorio Friaca (10408959)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Felipe Jiao (10408852)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Hao Yue Zheng (10408948)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Samuel Zheng (10395781)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before="240" w:lineRule="auto"/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Universidade</w:t>
      </w:r>
      <w:r w:rsidDel="00000000" w:rsidR="00000000" w:rsidRPr="00000000">
        <w:rPr>
          <w:rtl w:val="0"/>
        </w:rPr>
        <w:t xml:space="preserve"> Presbiteriana Mackenzie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São Paulo - SP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– Brazil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FCI - Faculdade de Computação e Informática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vertAlign w:val="superscript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Curso de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footerReference r:id="rId9" w:type="first"/>
          <w:footerReference r:id="rId10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paper presents a computer-vision approach for automatic recognition of agricultural pests in coffee plantations. We employ transfer learning with a pre-trained convolutional neural network to classify images of leaves and fruits, using the large-scale IP102 dataset (over ten thousand images) and optional coffee-focused datasets. We outline data preparation (resizing, normalization, augmentation), stratified splits, and the experimental plan. Expected outcomes include accuracy above 70% and detailed metrics (precision, recall, F1, confusion matrix), supporting faster and more reliable field decisions while keeping humans in the loop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artigo apresenta uma abordagem de visão computacional para reconhecimento automático de pragas em plantações de café. Utiliza-se transfer learning com redes neurais convolucionais pré-treinadas para classificar imagens de folhas e frutos, com base no conjunto IP102 (acima de dez mil imagens) e bases opcionais focadas em café. Descrevem-se preparo dos dados (redimensionamento, normalização, argumentação), divisão estratificada e plano experimental. Espera-se acurácia acima de 70% e métricas detalhadas (precisão, revocação, F1, matriz de confusão), visando decisões mais rápidas e confiáveis em campo, com validação humana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Contextualização.</w:t>
      </w:r>
      <w:r w:rsidDel="00000000" w:rsidR="00000000" w:rsidRPr="00000000">
        <w:rPr>
          <w:rtl w:val="0"/>
        </w:rPr>
        <w:t xml:space="preserve"> As pragas agrícolas causam perdas significativas de produtividade e aumento de custos. No café, pragas como broca-do-cafeeiro e bicho-mineiro são recorrentes e de difícil identificação rápida em campo.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Justificativa.</w:t>
      </w:r>
      <w:r w:rsidDel="00000000" w:rsidR="00000000" w:rsidRPr="00000000">
        <w:rPr>
          <w:rtl w:val="0"/>
        </w:rPr>
        <w:t xml:space="preserve"> O diagnóstico manual é demorado e sujeito a erro. Um classificador automático por imagem pode apoiar técnicos e produtores, acelerando a triagem e favorecendo o manejo sustentável.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Objetivo.</w:t>
      </w:r>
      <w:r w:rsidDel="00000000" w:rsidR="00000000" w:rsidRPr="00000000">
        <w:rPr>
          <w:rtl w:val="0"/>
        </w:rPr>
        <w:t xml:space="preserve"> Preparar e analisar um conjunto de imagens rotuladas e propor uma metodologia de classificação de pragas em café com redes neurais convolucionais e </w:t>
      </w:r>
      <w:r w:rsidDel="00000000" w:rsidR="00000000" w:rsidRPr="00000000">
        <w:rPr>
          <w:i w:val="1"/>
          <w:rtl w:val="0"/>
        </w:rPr>
        <w:t xml:space="preserve">transfer learning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Opção do projeto.</w:t>
      </w:r>
      <w:r w:rsidDel="00000000" w:rsidR="00000000" w:rsidRPr="00000000">
        <w:rPr>
          <w:rtl w:val="0"/>
        </w:rPr>
        <w:t xml:space="preserve"> ML/DL/VC/PLN — Visão Computacional com Deep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F</w:t>
      </w:r>
      <w:r w:rsidDel="00000000" w:rsidR="00000000" w:rsidRPr="00000000">
        <w:rPr>
          <w:b w:val="1"/>
          <w:sz w:val="26"/>
          <w:szCs w:val="26"/>
          <w:rtl w:val="0"/>
        </w:rPr>
        <w:t xml:space="preserve">undamentação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Redes Neurais Convolucionais (CNNs) extraem padrões visuais hierárquicos por camadas convolucionais e </w:t>
      </w:r>
      <w:r w:rsidDel="00000000" w:rsidR="00000000" w:rsidRPr="00000000">
        <w:rPr>
          <w:i w:val="1"/>
          <w:rtl w:val="0"/>
        </w:rPr>
        <w:t xml:space="preserve">pooling</w:t>
      </w:r>
      <w:r w:rsidDel="00000000" w:rsidR="00000000" w:rsidRPr="00000000">
        <w:rPr>
          <w:rtl w:val="0"/>
        </w:rPr>
        <w:t xml:space="preserve">. O </w:t>
      </w:r>
      <w:r w:rsidDel="00000000" w:rsidR="00000000" w:rsidRPr="00000000">
        <w:rPr>
          <w:i w:val="1"/>
          <w:rtl w:val="0"/>
        </w:rPr>
        <w:t xml:space="preserve">transfer learning</w:t>
      </w:r>
      <w:r w:rsidDel="00000000" w:rsidR="00000000" w:rsidRPr="00000000">
        <w:rPr>
          <w:rtl w:val="0"/>
        </w:rPr>
        <w:t xml:space="preserve"> reaproveita pesos de modelos pré-treinados (p.ex., ResNet18, MobileNetV2) em ImageNet, trocando-se a camada final para o número de classes alvo e ajustando parte da rede (</w:t>
      </w:r>
      <w:r w:rsidDel="00000000" w:rsidR="00000000" w:rsidRPr="00000000">
        <w:rPr>
          <w:i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), o que reduz necessidade de dados e tempo de treino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Classificar automaticamente, em imagens de folhas/frutos de café, a praga presente. Desafios: (i) grande variabilidade de iluminação, foco e estágio da infestação; (ii) semelhança visual entre algumas classes; (iii) desbalanceamento de dados; (iv) generalização para diferentes ambientes e dispositivos de captura</w:t>
      </w:r>
      <w:r w:rsidDel="00000000" w:rsidR="00000000" w:rsidRPr="00000000">
        <w:rPr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Aspectos Éticos e Responsabilidade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O sistema é de apoio à decisão — não substitui especialistas. Os dados devem respeitar licenças e privacidade. Resultados devem vir com comunicação de incerteza (falsos positivos/negativos). O uso responsável pode reduzir aplicações desnecessárias de defensivos, mas recomenda-se validação humana antes de ações no campo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Dataset, Análise Exploratória e Preparação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Fontes.</w:t>
      </w:r>
      <w:r w:rsidDel="00000000" w:rsidR="00000000" w:rsidRPr="00000000">
        <w:rPr>
          <w:rtl w:val="0"/>
        </w:rPr>
        <w:t xml:space="preserve"> IP102 (≈75k imagens, 102 classes de pragas) — atende ao requisito ≥10k imagens. Opcionalmente, bases focadas em café (p.ex., coleções de folhas de café com classes saudável e doenças/pragas).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Organização.</w:t>
      </w:r>
      <w:r w:rsidDel="00000000" w:rsidR="00000000" w:rsidRPr="00000000">
        <w:rPr>
          <w:rtl w:val="0"/>
        </w:rPr>
        <w:t xml:space="preserve"> Estrutura por pastas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classe/*.jpg</w:t>
      </w:r>
      <w:r w:rsidDel="00000000" w:rsidR="00000000" w:rsidRPr="00000000">
        <w:rPr>
          <w:rtl w:val="0"/>
        </w:rPr>
        <w:t xml:space="preserve">. Limpeza básica (remoção de arquivos corrompidos/duplicados).</w:t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Análise Exploratória.</w:t>
      </w:r>
      <w:r w:rsidDel="00000000" w:rsidR="00000000" w:rsidRPr="00000000">
        <w:rPr>
          <w:rtl w:val="0"/>
        </w:rPr>
        <w:t xml:space="preserve"> Contagem por classe para identificar desbalanceamentos; visualização amostral; gráfico de distribuição das classes com maior frequência.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Preparação.</w:t>
      </w:r>
      <w:r w:rsidDel="00000000" w:rsidR="00000000" w:rsidRPr="00000000">
        <w:rPr>
          <w:rtl w:val="0"/>
        </w:rPr>
        <w:t xml:space="preserve"> Redimensionamento para 224×224, normalização padrão ImageNet e </w:t>
      </w:r>
      <w:r w:rsidDel="00000000" w:rsidR="00000000" w:rsidRPr="00000000">
        <w:rPr>
          <w:i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 (rotações leves, espelhamento, variações moderadas de brilho/contraste). Divisão estratificada em treino/validação/teste (70%/15%/15%).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b w:val="1"/>
          <w:sz w:val="26"/>
          <w:szCs w:val="26"/>
          <w:rtl w:val="0"/>
        </w:rPr>
        <w:t xml:space="preserve">Metodologia e Resultados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Modelo base ResNet18 (ou MobileNetV2), com substituição da camada final para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classes e </w:t>
      </w:r>
      <w:r w:rsidDel="00000000" w:rsidR="00000000" w:rsidRPr="00000000">
        <w:rPr>
          <w:i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 parcial. Otimizador AdamW, função de perda </w:t>
      </w:r>
      <w:r w:rsidDel="00000000" w:rsidR="00000000" w:rsidRPr="00000000">
        <w:rPr>
          <w:i w:val="1"/>
          <w:rtl w:val="0"/>
        </w:rPr>
        <w:t xml:space="preserve">Cross-Entropy</w:t>
      </w:r>
      <w:r w:rsidDel="00000000" w:rsidR="00000000" w:rsidRPr="00000000">
        <w:rPr>
          <w:rtl w:val="0"/>
        </w:rPr>
        <w:t xml:space="preserve"> e ajuste automático de taxa de aprendizado. Métricas esperadas: acurácia ≥70% no conjunto de teste, além de precisão, revocação, F1 por classe e matriz de confusão. Os experimentos completos (treino e avaliação quantitativa) comporão a entrega do N2.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Boulic, R.; Renault, O. (1991). “3D Hierarchies for Animation”. In: </w:t>
      </w:r>
      <w:r w:rsidDel="00000000" w:rsidR="00000000" w:rsidRPr="00000000">
        <w:rPr>
          <w:i w:val="1"/>
          <w:rtl w:val="0"/>
        </w:rPr>
        <w:t xml:space="preserve">New Trends in Animation and Visualization</w:t>
      </w:r>
      <w:r w:rsidDel="00000000" w:rsidR="00000000" w:rsidRPr="00000000">
        <w:rPr>
          <w:rtl w:val="0"/>
        </w:rPr>
        <w:t xml:space="preserve">. John Wiley &amp; Sons.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He, K.; Zhang, X.; Ren, S.; Sun, J. (2016). “Deep Residual Learning for Image Recognition”. </w:t>
      </w:r>
      <w:r w:rsidDel="00000000" w:rsidR="00000000" w:rsidRPr="00000000">
        <w:rPr>
          <w:i w:val="1"/>
          <w:rtl w:val="0"/>
        </w:rPr>
        <w:t xml:space="preserve">CVPR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Howard, A. et al. (2017). “MobileNets: Efficient Convolutional Neural Networks for Mobile Vision Applications”. arXiv:1704.04861.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Knuth, D. E. (1984). </w:t>
      </w:r>
      <w:r w:rsidDel="00000000" w:rsidR="00000000" w:rsidRPr="00000000">
        <w:rPr>
          <w:i w:val="1"/>
          <w:rtl w:val="0"/>
        </w:rPr>
        <w:t xml:space="preserve">The TeXbook</w:t>
      </w:r>
      <w:r w:rsidDel="00000000" w:rsidR="00000000" w:rsidRPr="00000000">
        <w:rPr>
          <w:rtl w:val="0"/>
        </w:rPr>
        <w:t xml:space="preserve">. Addison-Wesley, 15th ed.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Wu, X. et al. (2019). “IP102: A Large-Scale Benchmark Dataset for Insect Pest Recognition”. </w:t>
      </w:r>
      <w:r w:rsidDel="00000000" w:rsidR="00000000" w:rsidRPr="00000000">
        <w:rPr>
          <w:i w:val="1"/>
          <w:rtl w:val="0"/>
        </w:rPr>
        <w:t xml:space="preserve">CVPR Workshops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Bibliografia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Bishop, C. (2006). </w:t>
      </w:r>
      <w:r w:rsidDel="00000000" w:rsidR="00000000" w:rsidRPr="00000000">
        <w:rPr>
          <w:i w:val="1"/>
          <w:rtl w:val="0"/>
        </w:rPr>
        <w:t xml:space="preserve">Pattern Recognition and Machine Learning</w:t>
      </w:r>
      <w:r w:rsidDel="00000000" w:rsidR="00000000" w:rsidRPr="00000000">
        <w:rPr>
          <w:rtl w:val="0"/>
        </w:rPr>
        <w:t xml:space="preserve">. Springer.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Géron, A. (2022). </w:t>
      </w:r>
      <w:r w:rsidDel="00000000" w:rsidR="00000000" w:rsidRPr="00000000">
        <w:rPr>
          <w:i w:val="1"/>
          <w:rtl w:val="0"/>
        </w:rPr>
        <w:t xml:space="preserve">Hands-On Machine Learning with Scikit-Learn, Keras &amp; TensorFlow</w:t>
      </w:r>
      <w:r w:rsidDel="00000000" w:rsidR="00000000" w:rsidRPr="00000000">
        <w:rPr>
          <w:rtl w:val="0"/>
        </w:rPr>
        <w:t xml:space="preserve">. O’Reilly.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  <w:t xml:space="preserve">Goodfellow, I.; Bengio, Y.; Courville, A. (2016). </w:t>
      </w:r>
      <w:r w:rsidDel="00000000" w:rsidR="00000000" w:rsidRPr="00000000">
        <w:rPr>
          <w:i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. MIT Press.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first"/>
      <w:footerReference r:id="rId14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  <w:p w:rsidR="00000000" w:rsidDel="00000000" w:rsidP="00000000" w:rsidRDefault="00000000" w:rsidRPr="00000000" w14:paraId="0000002C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" w:hAnsi="Times"/>
      <w:b w:val="1"/>
      <w:w w:val="100"/>
      <w:kern w:val="28"/>
      <w:position w:val="-1"/>
      <w:sz w:val="26"/>
      <w:effect w:val="none"/>
      <w:vertAlign w:val="baseline"/>
      <w:cs w:val="0"/>
      <w:em w:val="none"/>
      <w:lang w:bidi="ar-SA" w:eastAsia="pt-BR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left"/>
      <w:textDirection w:val="btLr"/>
      <w:textAlignment w:val="top"/>
      <w:outlineLvl w:val="1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both"/>
      <w:textDirection w:val="btLr"/>
      <w:textAlignment w:val="top"/>
      <w:outlineLvl w:val="2"/>
    </w:pPr>
    <w:rPr>
      <w:rFonts w:ascii="Helvetica" w:hAnsi="Helvetica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both"/>
      <w:textDirection w:val="btLr"/>
      <w:textAlignment w:val="top"/>
      <w:outlineLvl w:val="4"/>
    </w:pPr>
    <w:rPr>
      <w:rFonts w:ascii="Times" w:hAnsi="Times"/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tabs>
        <w:tab w:val="left" w:leader="none" w:pos="720"/>
      </w:tabs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uthor">
    <w:name w:val="Author"/>
    <w:basedOn w:val="Normal"/>
    <w:next w:val="Author"/>
    <w:autoRedefine w:val="0"/>
    <w:hidden w:val="0"/>
    <w:qFormat w:val="0"/>
    <w:pPr>
      <w:tabs>
        <w:tab w:val="left" w:leader="none" w:pos="720"/>
      </w:tabs>
      <w:suppressAutoHyphens w:val="1"/>
      <w:spacing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Address">
    <w:name w:val="Address"/>
    <w:basedOn w:val="Normal"/>
    <w:next w:val="Address"/>
    <w:autoRedefine w:val="0"/>
    <w:hidden w:val="0"/>
    <w:qFormat w:val="0"/>
    <w:pPr>
      <w:tabs>
        <w:tab w:val="left" w:leader="none" w:pos="720"/>
      </w:tabs>
      <w:suppressAutoHyphens w:val="1"/>
      <w:spacing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AddressChar">
    <w:name w:val="Address Char"/>
    <w:basedOn w:val="Fonteparág.padrão"/>
    <w:next w:val="AddressChar"/>
    <w:autoRedefine w:val="0"/>
    <w:hidden w:val="0"/>
    <w:qFormat w:val="0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Email">
    <w:name w:val="Email"/>
    <w:basedOn w:val="Normal"/>
    <w:next w:val="Email"/>
    <w:autoRedefine w:val="0"/>
    <w:hidden w:val="0"/>
    <w:qFormat w:val="0"/>
    <w:pPr>
      <w:tabs>
        <w:tab w:val="left" w:leader="none" w:pos="720"/>
      </w:tabs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Abstract">
    <w:name w:val="Abstract"/>
    <w:basedOn w:val="Normal"/>
    <w:next w:val="Abstract"/>
    <w:autoRedefine w:val="0"/>
    <w:hidden w:val="0"/>
    <w:qFormat w:val="0"/>
    <w:pPr>
      <w:tabs>
        <w:tab w:val="left" w:leader="none" w:pos="720"/>
      </w:tabs>
      <w:suppressAutoHyphens w:val="1"/>
      <w:spacing w:after="120" w:before="120" w:line="1" w:lineRule="atLeast"/>
      <w:ind w:left="454" w:right="454" w:leftChars="-1" w:rightChars="0" w:firstLineChars="-1"/>
      <w:jc w:val="both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Figure">
    <w:name w:val="Figure"/>
    <w:basedOn w:val="Normal"/>
    <w:next w:val="Figur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ference">
    <w:name w:val="Reference"/>
    <w:basedOn w:val="Normal"/>
    <w:next w:val="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tabs>
        <w:tab w:val="left" w:leader="none" w:pos="720"/>
      </w:tabs>
      <w:suppressAutoHyphens w:val="1"/>
      <w:spacing w:before="240" w:line="1" w:lineRule="atLeast"/>
      <w:ind w:leftChars="-1" w:rightChars="0" w:firstLine="397" w:firstLineChars="-1"/>
      <w:jc w:val="center"/>
      <w:textDirection w:val="btLr"/>
      <w:textAlignment w:val="top"/>
      <w:outlineLvl w:val="0"/>
    </w:pPr>
    <w:rPr>
      <w:rFonts w:ascii="Times" w:cs="Arial" w:hAnsi="Times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en-US"/>
    </w:rPr>
  </w:style>
  <w:style w:type="paragraph" w:styleId="Legenda">
    <w:name w:val="Legenda"/>
    <w:basedOn w:val="Normal"/>
    <w:next w:val="Normal"/>
    <w:autoRedefine w:val="0"/>
    <w:hidden w:val="0"/>
    <w:qFormat w:val="0"/>
    <w:pPr>
      <w:tabs>
        <w:tab w:val="left" w:leader="none" w:pos="720"/>
      </w:tabs>
      <w:suppressAutoHyphens w:val="1"/>
      <w:spacing w:after="120" w:before="120" w:line="1" w:lineRule="atLeast"/>
      <w:ind w:left="454" w:right="454"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NIp+QByJWWTQdtq+vln0OQ3ZfA==">CgMxLjA4AHIhMWdIN3B1aGJPWmhmQVg0eHozR2hsd0ZJV3lMd1ZoTjFI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2005-03-18T18:16:00Z</dcterms:created>
  <dc:creator>Sociedade Brasileira de Computação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