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3937" w:rsidRDefault="00516FD1">
      <w:pPr>
        <w:spacing w:after="0" w:line="260" w:lineRule="auto"/>
        <w:ind w:left="1016" w:right="953"/>
        <w:jc w:val="center"/>
      </w:pPr>
      <w:r>
        <w:rPr>
          <w:rFonts w:ascii="Arial" w:eastAsia="Arial" w:hAnsi="Arial" w:cs="Arial"/>
          <w:b/>
          <w:sz w:val="24"/>
          <w:u w:val="single" w:color="000000"/>
        </w:rPr>
        <w:t>LEI COMPLEMENTAR N. 29, DE 6 DE JANEIRO DE 2026</w:t>
      </w:r>
      <w:r>
        <w:rPr>
          <w:rFonts w:ascii="Arial" w:eastAsia="Arial" w:hAnsi="Arial" w:cs="Arial"/>
          <w:sz w:val="24"/>
        </w:rPr>
        <w:t xml:space="preserve"> DOM 06.01.2026 – N. 6225, ANO XXVII) </w:t>
      </w:r>
    </w:p>
    <w:p w:rsidR="00803937" w:rsidRDefault="00516FD1">
      <w:pPr>
        <w:spacing w:after="0"/>
      </w:pPr>
      <w:r>
        <w:rPr>
          <w:rFonts w:ascii="Arial" w:eastAsia="Arial" w:hAnsi="Arial" w:cs="Arial"/>
          <w:sz w:val="24"/>
        </w:rPr>
        <w:t xml:space="preserve"> </w:t>
      </w:r>
    </w:p>
    <w:p w:rsidR="00803937" w:rsidRDefault="00516FD1">
      <w:pPr>
        <w:spacing w:after="0" w:line="249" w:lineRule="auto"/>
        <w:ind w:left="4957"/>
        <w:jc w:val="both"/>
      </w:pPr>
      <w:r>
        <w:rPr>
          <w:rFonts w:ascii="Arial" w:eastAsia="Arial" w:hAnsi="Arial" w:cs="Arial"/>
          <w:b/>
          <w:sz w:val="24"/>
        </w:rPr>
        <w:t xml:space="preserve">ESTABELECE </w:t>
      </w:r>
      <w:r>
        <w:rPr>
          <w:rFonts w:ascii="Arial" w:eastAsia="Arial" w:hAnsi="Arial" w:cs="Arial"/>
          <w:sz w:val="24"/>
        </w:rPr>
        <w:t xml:space="preserve">critérios para a regularização e compensação urbanística de edificações </w:t>
      </w:r>
      <w:r>
        <w:rPr>
          <w:rFonts w:ascii="Arial" w:eastAsia="Arial" w:hAnsi="Arial" w:cs="Arial"/>
          <w:sz w:val="24"/>
        </w:rPr>
        <w:t xml:space="preserve">em desacordo com a legislação urbanística e dá outras providências. </w:t>
      </w:r>
    </w:p>
    <w:p w:rsidR="00803937" w:rsidRDefault="00516FD1">
      <w:pPr>
        <w:spacing w:after="0"/>
      </w:pPr>
      <w:r>
        <w:rPr>
          <w:rFonts w:ascii="Arial" w:eastAsia="Arial" w:hAnsi="Arial" w:cs="Arial"/>
          <w:sz w:val="24"/>
        </w:rPr>
        <w:t xml:space="preserve"> </w:t>
      </w:r>
    </w:p>
    <w:p w:rsidR="00803937" w:rsidRDefault="00516FD1">
      <w:pPr>
        <w:spacing w:after="0" w:line="249" w:lineRule="auto"/>
        <w:ind w:left="-15" w:firstLine="698"/>
        <w:jc w:val="both"/>
      </w:pPr>
      <w:r>
        <w:rPr>
          <w:rFonts w:ascii="Arial" w:eastAsia="Arial" w:hAnsi="Arial" w:cs="Arial"/>
          <w:sz w:val="24"/>
        </w:rPr>
        <w:t xml:space="preserve">O </w:t>
      </w:r>
      <w:r>
        <w:rPr>
          <w:rFonts w:ascii="Arial" w:eastAsia="Arial" w:hAnsi="Arial" w:cs="Arial"/>
          <w:b/>
          <w:sz w:val="24"/>
        </w:rPr>
        <w:t>PREFEITO DE MANAUS</w:t>
      </w:r>
      <w:r>
        <w:rPr>
          <w:rFonts w:ascii="Arial" w:eastAsia="Arial" w:hAnsi="Arial" w:cs="Arial"/>
          <w:sz w:val="24"/>
        </w:rPr>
        <w:t xml:space="preserve">, no uso das atribuições que lhe são conferidas pelo art. 80, inc. IV, da Lei Orgânica do Município de Manaus,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708"/>
        <w:jc w:val="both"/>
      </w:pPr>
      <w:r>
        <w:rPr>
          <w:rFonts w:ascii="Arial" w:eastAsia="Arial" w:hAnsi="Arial" w:cs="Arial"/>
          <w:b/>
          <w:sz w:val="24"/>
        </w:rPr>
        <w:t xml:space="preserve">FAÇO SABER </w:t>
      </w:r>
      <w:r>
        <w:rPr>
          <w:rFonts w:ascii="Arial" w:eastAsia="Arial" w:hAnsi="Arial" w:cs="Arial"/>
          <w:sz w:val="24"/>
        </w:rPr>
        <w:t>que o Poder Legislativo decretou e eu sa</w:t>
      </w:r>
      <w:r>
        <w:rPr>
          <w:rFonts w:ascii="Arial" w:eastAsia="Arial" w:hAnsi="Arial" w:cs="Arial"/>
          <w:sz w:val="24"/>
        </w:rPr>
        <w:t xml:space="preserve">nciono a seguinte </w:t>
      </w:r>
    </w:p>
    <w:p w:rsidR="00803937" w:rsidRDefault="00516FD1">
      <w:pPr>
        <w:spacing w:after="0"/>
      </w:pPr>
      <w:r>
        <w:rPr>
          <w:rFonts w:ascii="Arial" w:eastAsia="Arial" w:hAnsi="Arial" w:cs="Arial"/>
          <w:sz w:val="24"/>
        </w:rPr>
        <w:t xml:space="preserve"> </w:t>
      </w:r>
    </w:p>
    <w:p w:rsidR="00803937" w:rsidRDefault="00516FD1">
      <w:pPr>
        <w:spacing w:after="1"/>
        <w:ind w:left="10" w:right="1" w:hanging="10"/>
        <w:jc w:val="center"/>
      </w:pPr>
      <w:r>
        <w:rPr>
          <w:rFonts w:ascii="Arial" w:eastAsia="Arial" w:hAnsi="Arial" w:cs="Arial"/>
          <w:b/>
          <w:sz w:val="24"/>
        </w:rPr>
        <w:t xml:space="preserve">LEI: </w:t>
      </w:r>
    </w:p>
    <w:p w:rsidR="00803937" w:rsidRDefault="00516FD1">
      <w:pPr>
        <w:spacing w:after="0"/>
      </w:pPr>
      <w:r>
        <w:rPr>
          <w:rFonts w:ascii="Arial" w:eastAsia="Arial" w:hAnsi="Arial" w:cs="Arial"/>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1.º </w:t>
      </w:r>
      <w:r>
        <w:rPr>
          <w:rFonts w:ascii="Arial" w:eastAsia="Arial" w:hAnsi="Arial" w:cs="Arial"/>
          <w:sz w:val="24"/>
        </w:rPr>
        <w:t>Esta Lei Complementar estabelece critérios para regularização e habite-se de edificações que estejam em desconformidade com a legislação urbanística, em especial o Código de Obras e Edificações, e Normas de Uso e Ocupa</w:t>
      </w:r>
      <w:r>
        <w:rPr>
          <w:rFonts w:ascii="Arial" w:eastAsia="Arial" w:hAnsi="Arial" w:cs="Arial"/>
          <w:sz w:val="24"/>
        </w:rPr>
        <w:t xml:space="preserve">ção do Solo no município de Manaus, utilizando a compensação urbanística como instrumento pecuniário de indenização ao Município pelos danos causados, em respeito ao interesse coletivo e em detrimento do interesse particular.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2.º </w:t>
      </w:r>
      <w:r>
        <w:rPr>
          <w:rFonts w:ascii="Arial" w:eastAsia="Arial" w:hAnsi="Arial" w:cs="Arial"/>
          <w:sz w:val="24"/>
        </w:rPr>
        <w:t>As edificações a s</w:t>
      </w:r>
      <w:r>
        <w:rPr>
          <w:rFonts w:ascii="Arial" w:eastAsia="Arial" w:hAnsi="Arial" w:cs="Arial"/>
          <w:sz w:val="24"/>
        </w:rPr>
        <w:t xml:space="preserve">erem regularizadas por meio desta Lei deverão abrigar os usos e as atividades adequadas ao zoneamento vigente, mantendo a qualidade do espaço urbano construído e a adequação da capacidade instalada de infraestrutura urbana local.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3.º </w:t>
      </w:r>
      <w:r>
        <w:rPr>
          <w:rFonts w:ascii="Arial" w:eastAsia="Arial" w:hAnsi="Arial" w:cs="Arial"/>
          <w:sz w:val="24"/>
        </w:rPr>
        <w:t xml:space="preserve">A compensação </w:t>
      </w:r>
      <w:r>
        <w:rPr>
          <w:rFonts w:ascii="Arial" w:eastAsia="Arial" w:hAnsi="Arial" w:cs="Arial"/>
          <w:sz w:val="24"/>
        </w:rPr>
        <w:t xml:space="preserve">urbanística é aplicável em todas as edificações localizadas em área urbana e de transição do município de Manaus, sejam em imóveis públicos de propriedade da União, Estado e Município, ou em imóveis privados e de organizações da sociedade civil, desde que </w:t>
      </w:r>
      <w:r>
        <w:rPr>
          <w:rFonts w:ascii="Arial" w:eastAsia="Arial" w:hAnsi="Arial" w:cs="Arial"/>
          <w:sz w:val="24"/>
        </w:rPr>
        <w:t xml:space="preserve">comprovadamente possua edificação construída.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 1.º </w:t>
      </w:r>
      <w:r>
        <w:rPr>
          <w:rFonts w:ascii="Arial" w:eastAsia="Arial" w:hAnsi="Arial" w:cs="Arial"/>
          <w:sz w:val="24"/>
        </w:rPr>
        <w:t>Para fins de comprovação de que a edificação foi construída, deverá ser apresentado o Boletim de Cadastro Imobiliário (BCI), plantas aerofotogramétricas, imagens de satélite, memoriais descritivos, fot</w:t>
      </w:r>
      <w:r>
        <w:rPr>
          <w:rFonts w:ascii="Arial" w:eastAsia="Arial" w:hAnsi="Arial" w:cs="Arial"/>
          <w:sz w:val="24"/>
        </w:rPr>
        <w:t xml:space="preserve">os ou outros documentos, apresentando, no mínimo, edificação com estrutura concluída, com todo o conjunto de vigas, pilares e lajes, com garantias de segurança e habitabilidade.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 2.º </w:t>
      </w:r>
      <w:r>
        <w:rPr>
          <w:rFonts w:ascii="Arial" w:eastAsia="Arial" w:hAnsi="Arial" w:cs="Arial"/>
          <w:sz w:val="24"/>
        </w:rPr>
        <w:t>A compensação urbanística será apreciada pelo Conselho Municipal de Desenvolvimento Urbano (CMDU), em regular processo administrativo, após análise realizada pelo Setor de Análise de Projetos do Instituto Municipal de Planejamento Urbano (Implurb), com bas</w:t>
      </w:r>
      <w:r>
        <w:rPr>
          <w:rFonts w:ascii="Arial" w:eastAsia="Arial" w:hAnsi="Arial" w:cs="Arial"/>
          <w:sz w:val="24"/>
        </w:rPr>
        <w:t xml:space="preserve">e nas premissas estabelecidas nesta Lei.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lastRenderedPageBreak/>
        <w:t xml:space="preserve">§ 3.º </w:t>
      </w:r>
      <w:r>
        <w:rPr>
          <w:rFonts w:ascii="Arial" w:eastAsia="Arial" w:hAnsi="Arial" w:cs="Arial"/>
          <w:sz w:val="24"/>
        </w:rPr>
        <w:t xml:space="preserve">Uma vez analisada e deferida pelo CMDU, a cobrança da compensação urbanística será processada pelo Implurb.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 4.º </w:t>
      </w:r>
      <w:r>
        <w:rPr>
          <w:rFonts w:ascii="Arial" w:eastAsia="Arial" w:hAnsi="Arial" w:cs="Arial"/>
          <w:sz w:val="24"/>
        </w:rPr>
        <w:t>O encaminhamento do processo para a análise do CMDU somente ocorrerá mediante pedido do i</w:t>
      </w:r>
      <w:r>
        <w:rPr>
          <w:rFonts w:ascii="Arial" w:eastAsia="Arial" w:hAnsi="Arial" w:cs="Arial"/>
          <w:sz w:val="24"/>
        </w:rPr>
        <w:t xml:space="preserve">nteressado.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4.º </w:t>
      </w:r>
      <w:r>
        <w:rPr>
          <w:rFonts w:ascii="Arial" w:eastAsia="Arial" w:hAnsi="Arial" w:cs="Arial"/>
          <w:sz w:val="24"/>
        </w:rPr>
        <w:t xml:space="preserve">Aplica-se a compensação urbanística para fins de regularização e/ou habite-se de edificações construídas dentro dos limites de lote registrados no ofício de registro de imóveis competente, desde que atenda às seguintes condições: </w:t>
      </w:r>
    </w:p>
    <w:p w:rsidR="00803937" w:rsidRDefault="00516FD1">
      <w:pPr>
        <w:numPr>
          <w:ilvl w:val="0"/>
          <w:numId w:val="1"/>
        </w:numPr>
        <w:spacing w:after="0" w:line="249" w:lineRule="auto"/>
        <w:ind w:firstLine="698"/>
        <w:jc w:val="both"/>
      </w:pPr>
      <w:r>
        <w:rPr>
          <w:rFonts w:ascii="Arial" w:eastAsia="Arial" w:hAnsi="Arial" w:cs="Arial"/>
          <w:b/>
          <w:sz w:val="24"/>
        </w:rPr>
        <w:t>–</w:t>
      </w:r>
      <w:r>
        <w:rPr>
          <w:rFonts w:ascii="Arial" w:eastAsia="Arial" w:hAnsi="Arial" w:cs="Arial"/>
          <w:b/>
          <w:sz w:val="24"/>
        </w:rPr>
        <w:t xml:space="preserve"> </w:t>
      </w:r>
      <w:r>
        <w:rPr>
          <w:rFonts w:ascii="Arial" w:eastAsia="Arial" w:hAnsi="Arial" w:cs="Arial"/>
          <w:sz w:val="24"/>
        </w:rPr>
        <w:t xml:space="preserve">não invadam logradouro público e nem o espaço da vizinhança; </w:t>
      </w:r>
    </w:p>
    <w:p w:rsidR="00803937" w:rsidRDefault="00516FD1">
      <w:pPr>
        <w:numPr>
          <w:ilvl w:val="0"/>
          <w:numId w:val="1"/>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estejam fora de Área de Preservação Permanente (APP), mesmo que parcialmente; </w:t>
      </w:r>
    </w:p>
    <w:p w:rsidR="00803937" w:rsidRDefault="00516FD1">
      <w:pPr>
        <w:numPr>
          <w:ilvl w:val="0"/>
          <w:numId w:val="1"/>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não interfiram no cone de aproximação de aeronaves e demais regras de segurança de voo; </w:t>
      </w:r>
    </w:p>
    <w:p w:rsidR="00803937" w:rsidRDefault="00516FD1">
      <w:pPr>
        <w:numPr>
          <w:ilvl w:val="0"/>
          <w:numId w:val="1"/>
        </w:numPr>
        <w:spacing w:after="0" w:line="249" w:lineRule="auto"/>
        <w:ind w:firstLine="698"/>
        <w:jc w:val="both"/>
      </w:pPr>
      <w:r>
        <w:rPr>
          <w:rFonts w:ascii="Arial" w:eastAsia="Arial" w:hAnsi="Arial" w:cs="Arial"/>
          <w:b/>
          <w:sz w:val="24"/>
        </w:rPr>
        <w:t xml:space="preserve">– </w:t>
      </w:r>
      <w:r>
        <w:rPr>
          <w:rFonts w:ascii="Arial" w:eastAsia="Arial" w:hAnsi="Arial" w:cs="Arial"/>
          <w:sz w:val="24"/>
        </w:rPr>
        <w:t>não estejam em área</w:t>
      </w:r>
      <w:r>
        <w:rPr>
          <w:rFonts w:ascii="Arial" w:eastAsia="Arial" w:hAnsi="Arial" w:cs="Arial"/>
          <w:sz w:val="24"/>
        </w:rPr>
        <w:t xml:space="preserve"> de risco; </w:t>
      </w:r>
    </w:p>
    <w:p w:rsidR="00803937" w:rsidRDefault="00516FD1">
      <w:pPr>
        <w:numPr>
          <w:ilvl w:val="0"/>
          <w:numId w:val="1"/>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não proporcionem risco não passível de mitigação quanto à estabilidade, segurança, higiene e salubridade; </w:t>
      </w:r>
    </w:p>
    <w:p w:rsidR="00803937" w:rsidRDefault="00516FD1">
      <w:pPr>
        <w:numPr>
          <w:ilvl w:val="0"/>
          <w:numId w:val="1"/>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não seja imóvel tombado pelo patrimônio histórico edificado ou que esteja em processo de tombamento.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5.º </w:t>
      </w:r>
      <w:r>
        <w:rPr>
          <w:rFonts w:ascii="Arial" w:eastAsia="Arial" w:hAnsi="Arial" w:cs="Arial"/>
          <w:sz w:val="24"/>
        </w:rPr>
        <w:t xml:space="preserve">A compensação urbanística somente poderá ser efetivada em processos administrativos em trâmite no Implurb, nos quais estejam presentes, cumulativamente, os seguintes requisitos:  </w:t>
      </w:r>
    </w:p>
    <w:p w:rsidR="00803937" w:rsidRDefault="00516FD1">
      <w:pPr>
        <w:numPr>
          <w:ilvl w:val="0"/>
          <w:numId w:val="2"/>
        </w:numPr>
        <w:spacing w:after="0" w:line="249" w:lineRule="auto"/>
        <w:ind w:firstLine="698"/>
        <w:jc w:val="both"/>
      </w:pPr>
      <w:r>
        <w:rPr>
          <w:rFonts w:ascii="Arial" w:eastAsia="Arial" w:hAnsi="Arial" w:cs="Arial"/>
          <w:b/>
          <w:sz w:val="24"/>
        </w:rPr>
        <w:t xml:space="preserve">– </w:t>
      </w:r>
      <w:r>
        <w:rPr>
          <w:rFonts w:ascii="Arial" w:eastAsia="Arial" w:hAnsi="Arial" w:cs="Arial"/>
          <w:sz w:val="24"/>
        </w:rPr>
        <w:t>tenha havido o indeferimento da regularização da edificação em razão de de</w:t>
      </w:r>
      <w:r>
        <w:rPr>
          <w:rFonts w:ascii="Arial" w:eastAsia="Arial" w:hAnsi="Arial" w:cs="Arial"/>
          <w:sz w:val="24"/>
        </w:rPr>
        <w:t xml:space="preserve">sconformidade com a legislação urbanística; </w:t>
      </w:r>
    </w:p>
    <w:p w:rsidR="00803937" w:rsidRDefault="00516FD1">
      <w:pPr>
        <w:numPr>
          <w:ilvl w:val="0"/>
          <w:numId w:val="2"/>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haja posterior deferimento da compensação pelo Conselho Municipal de Desenvolvimento Urbano (CMDU).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Parágrafo único. </w:t>
      </w:r>
      <w:r>
        <w:rPr>
          <w:rFonts w:ascii="Arial" w:eastAsia="Arial" w:hAnsi="Arial" w:cs="Arial"/>
          <w:sz w:val="24"/>
        </w:rPr>
        <w:t xml:space="preserve">Não poderão ser regularizadas, mediante compensação urbanística, as edificações que:  </w:t>
      </w:r>
    </w:p>
    <w:p w:rsidR="00803937" w:rsidRDefault="00516FD1">
      <w:pPr>
        <w:numPr>
          <w:ilvl w:val="0"/>
          <w:numId w:val="3"/>
        </w:numPr>
        <w:spacing w:after="0" w:line="249" w:lineRule="auto"/>
        <w:ind w:right="916" w:firstLine="349"/>
        <w:jc w:val="both"/>
      </w:pPr>
      <w:r>
        <w:rPr>
          <w:rFonts w:ascii="Arial" w:eastAsia="Arial" w:hAnsi="Arial" w:cs="Arial"/>
          <w:b/>
          <w:sz w:val="24"/>
        </w:rPr>
        <w:t xml:space="preserve">– </w:t>
      </w:r>
      <w:r>
        <w:rPr>
          <w:rFonts w:ascii="Arial" w:eastAsia="Arial" w:hAnsi="Arial" w:cs="Arial"/>
          <w:sz w:val="24"/>
        </w:rPr>
        <w:t xml:space="preserve">estejam em fase de aprovação de projeto ou de aprovação e licença de obras; </w:t>
      </w:r>
    </w:p>
    <w:p w:rsidR="00803937" w:rsidRDefault="00516FD1">
      <w:pPr>
        <w:numPr>
          <w:ilvl w:val="0"/>
          <w:numId w:val="3"/>
        </w:numPr>
        <w:spacing w:after="0" w:line="249" w:lineRule="auto"/>
        <w:ind w:right="916" w:firstLine="349"/>
        <w:jc w:val="both"/>
      </w:pPr>
      <w:r>
        <w:rPr>
          <w:rFonts w:ascii="Arial" w:eastAsia="Arial" w:hAnsi="Arial" w:cs="Arial"/>
          <w:b/>
          <w:sz w:val="24"/>
        </w:rPr>
        <w:t xml:space="preserve">– </w:t>
      </w:r>
      <w:r>
        <w:rPr>
          <w:rFonts w:ascii="Arial" w:eastAsia="Arial" w:hAnsi="Arial" w:cs="Arial"/>
          <w:sz w:val="24"/>
        </w:rPr>
        <w:t xml:space="preserve">não tenham sido iniciadas ou estejam em construção; </w:t>
      </w:r>
      <w:r>
        <w:rPr>
          <w:rFonts w:ascii="Arial" w:eastAsia="Arial" w:hAnsi="Arial" w:cs="Arial"/>
          <w:b/>
          <w:sz w:val="24"/>
        </w:rPr>
        <w:t xml:space="preserve">III – </w:t>
      </w:r>
      <w:r>
        <w:rPr>
          <w:rFonts w:ascii="Arial" w:eastAsia="Arial" w:hAnsi="Arial" w:cs="Arial"/>
          <w:sz w:val="24"/>
        </w:rPr>
        <w:t xml:space="preserve">não atendam ao que estabelece o art. 3.º desta Lei.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6.º </w:t>
      </w:r>
      <w:r>
        <w:rPr>
          <w:rFonts w:ascii="Arial" w:eastAsia="Arial" w:hAnsi="Arial" w:cs="Arial"/>
          <w:sz w:val="24"/>
        </w:rPr>
        <w:t>A solicitação de flexibilização dos parâmetros urbanísticos em desacordo com a legislação urbanística deverá ser feita junto ao CMDU, que poderá indeferir, deferir integralmente ou parcialmente o pedido, sendo aplicável a compensação urbanística apenas nos</w:t>
      </w:r>
      <w:r>
        <w:rPr>
          <w:rFonts w:ascii="Arial" w:eastAsia="Arial" w:hAnsi="Arial" w:cs="Arial"/>
          <w:sz w:val="24"/>
        </w:rPr>
        <w:t xml:space="preserve"> itens considerados deferidos em decisão julgada pelo seu colegiado. </w:t>
      </w:r>
    </w:p>
    <w:p w:rsidR="00803937" w:rsidRDefault="00516FD1">
      <w:pPr>
        <w:spacing w:after="0"/>
        <w:ind w:left="708"/>
      </w:pPr>
      <w:r>
        <w:rPr>
          <w:rFonts w:ascii="Arial" w:eastAsia="Arial" w:hAnsi="Arial" w:cs="Arial"/>
          <w:sz w:val="24"/>
        </w:rPr>
        <w:t xml:space="preserve"> </w:t>
      </w:r>
    </w:p>
    <w:p w:rsidR="00803937" w:rsidRDefault="00516FD1">
      <w:pPr>
        <w:spacing w:after="0" w:line="249" w:lineRule="auto"/>
        <w:ind w:left="-15" w:firstLine="698"/>
        <w:jc w:val="both"/>
      </w:pPr>
      <w:r>
        <w:rPr>
          <w:rFonts w:ascii="Arial" w:eastAsia="Arial" w:hAnsi="Arial" w:cs="Arial"/>
          <w:b/>
          <w:sz w:val="24"/>
        </w:rPr>
        <w:t xml:space="preserve">Parágrafo único. </w:t>
      </w:r>
      <w:r>
        <w:rPr>
          <w:rFonts w:ascii="Arial" w:eastAsia="Arial" w:hAnsi="Arial" w:cs="Arial"/>
          <w:sz w:val="24"/>
        </w:rPr>
        <w:t xml:space="preserve">Não caberá, sob qualquer justificativa, a dispensa de pagamento de compensação urbanística, exceto o que estabelece o Art. 15 desta Lei Complementar.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lastRenderedPageBreak/>
        <w:t xml:space="preserve">Art. 7.º </w:t>
      </w:r>
      <w:r>
        <w:rPr>
          <w:rFonts w:ascii="Arial" w:eastAsia="Arial" w:hAnsi="Arial" w:cs="Arial"/>
          <w:sz w:val="24"/>
        </w:rPr>
        <w:t>Poder</w:t>
      </w:r>
      <w:r>
        <w:rPr>
          <w:rFonts w:ascii="Arial" w:eastAsia="Arial" w:hAnsi="Arial" w:cs="Arial"/>
          <w:sz w:val="24"/>
        </w:rPr>
        <w:t xml:space="preserve">ão ser objeto de compensação urbanística as edificações que não atendam aos seguintes requisitos da legislação urbanística: </w:t>
      </w:r>
    </w:p>
    <w:p w:rsidR="00803937" w:rsidRDefault="00516FD1">
      <w:pPr>
        <w:numPr>
          <w:ilvl w:val="0"/>
          <w:numId w:val="4"/>
        </w:numPr>
        <w:spacing w:after="0" w:line="249" w:lineRule="auto"/>
        <w:ind w:hanging="269"/>
        <w:jc w:val="both"/>
      </w:pPr>
      <w:r>
        <w:rPr>
          <w:rFonts w:ascii="Arial" w:eastAsia="Arial" w:hAnsi="Arial" w:cs="Arial"/>
          <w:b/>
          <w:sz w:val="24"/>
        </w:rPr>
        <w:t xml:space="preserve">– </w:t>
      </w:r>
      <w:r>
        <w:rPr>
          <w:rFonts w:ascii="Arial" w:eastAsia="Arial" w:hAnsi="Arial" w:cs="Arial"/>
          <w:sz w:val="24"/>
        </w:rPr>
        <w:t xml:space="preserve">recuo frontal, lateral, de fundos e entre edificações; </w:t>
      </w:r>
    </w:p>
    <w:p w:rsidR="00803937" w:rsidRDefault="00516FD1">
      <w:pPr>
        <w:numPr>
          <w:ilvl w:val="0"/>
          <w:numId w:val="4"/>
        </w:numPr>
        <w:spacing w:after="0" w:line="249" w:lineRule="auto"/>
        <w:ind w:hanging="269"/>
        <w:jc w:val="both"/>
      </w:pPr>
      <w:r>
        <w:rPr>
          <w:rFonts w:ascii="Arial" w:eastAsia="Arial" w:hAnsi="Arial" w:cs="Arial"/>
          <w:b/>
          <w:sz w:val="24"/>
        </w:rPr>
        <w:t xml:space="preserve">– </w:t>
      </w:r>
      <w:r>
        <w:rPr>
          <w:rFonts w:ascii="Arial" w:eastAsia="Arial" w:hAnsi="Arial" w:cs="Arial"/>
          <w:sz w:val="24"/>
        </w:rPr>
        <w:t xml:space="preserve">área mínima permeável; </w:t>
      </w:r>
    </w:p>
    <w:p w:rsidR="00803937" w:rsidRDefault="00516FD1">
      <w:pPr>
        <w:numPr>
          <w:ilvl w:val="0"/>
          <w:numId w:val="4"/>
        </w:numPr>
        <w:spacing w:after="0" w:line="249" w:lineRule="auto"/>
        <w:ind w:hanging="269"/>
        <w:jc w:val="both"/>
      </w:pPr>
      <w:r>
        <w:rPr>
          <w:rFonts w:ascii="Arial" w:eastAsia="Arial" w:hAnsi="Arial" w:cs="Arial"/>
          <w:b/>
          <w:sz w:val="24"/>
        </w:rPr>
        <w:t xml:space="preserve">– </w:t>
      </w:r>
      <w:r>
        <w:rPr>
          <w:rFonts w:ascii="Arial" w:eastAsia="Arial" w:hAnsi="Arial" w:cs="Arial"/>
          <w:sz w:val="24"/>
        </w:rPr>
        <w:t xml:space="preserve">vagas de garagem.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708"/>
        <w:jc w:val="both"/>
      </w:pPr>
      <w:r>
        <w:rPr>
          <w:rFonts w:ascii="Arial" w:eastAsia="Arial" w:hAnsi="Arial" w:cs="Arial"/>
          <w:b/>
          <w:sz w:val="24"/>
        </w:rPr>
        <w:t xml:space="preserve">Art. 8.º </w:t>
      </w:r>
      <w:r>
        <w:rPr>
          <w:rFonts w:ascii="Arial" w:eastAsia="Arial" w:hAnsi="Arial" w:cs="Arial"/>
          <w:sz w:val="24"/>
        </w:rPr>
        <w:t>A compensação u</w:t>
      </w:r>
      <w:r>
        <w:rPr>
          <w:rFonts w:ascii="Arial" w:eastAsia="Arial" w:hAnsi="Arial" w:cs="Arial"/>
          <w:sz w:val="24"/>
        </w:rPr>
        <w:t xml:space="preserve">rbanística será calculada pelo Setor de Análise de </w:t>
      </w:r>
    </w:p>
    <w:p w:rsidR="00803937" w:rsidRDefault="00516FD1">
      <w:pPr>
        <w:spacing w:after="0" w:line="249" w:lineRule="auto"/>
        <w:ind w:left="693" w:right="908" w:hanging="708"/>
        <w:jc w:val="both"/>
      </w:pPr>
      <w:r>
        <w:rPr>
          <w:rFonts w:ascii="Arial" w:eastAsia="Arial" w:hAnsi="Arial" w:cs="Arial"/>
          <w:sz w:val="24"/>
        </w:rPr>
        <w:t xml:space="preserve">Projetos do IMPLURB, pela seguinte fórmula: VC = A x VR x IC x ZF Onde: </w:t>
      </w:r>
    </w:p>
    <w:p w:rsidR="00803937" w:rsidRDefault="00516FD1">
      <w:pPr>
        <w:spacing w:after="0" w:line="249" w:lineRule="auto"/>
        <w:ind w:left="708"/>
        <w:jc w:val="both"/>
      </w:pPr>
      <w:r>
        <w:rPr>
          <w:rFonts w:ascii="Arial" w:eastAsia="Arial" w:hAnsi="Arial" w:cs="Arial"/>
          <w:sz w:val="24"/>
        </w:rPr>
        <w:t xml:space="preserve">VC = valor da compensação; </w:t>
      </w:r>
    </w:p>
    <w:p w:rsidR="00803937" w:rsidRDefault="00516FD1">
      <w:pPr>
        <w:spacing w:after="0" w:line="249" w:lineRule="auto"/>
        <w:ind w:left="708"/>
        <w:jc w:val="both"/>
      </w:pPr>
      <w:r>
        <w:rPr>
          <w:rFonts w:ascii="Arial" w:eastAsia="Arial" w:hAnsi="Arial" w:cs="Arial"/>
          <w:sz w:val="24"/>
        </w:rPr>
        <w:t xml:space="preserve">A = área total em desacordo com a legislação; </w:t>
      </w:r>
    </w:p>
    <w:p w:rsidR="00803937" w:rsidRDefault="00516FD1">
      <w:pPr>
        <w:spacing w:after="0" w:line="249" w:lineRule="auto"/>
        <w:ind w:left="-15" w:firstLine="698"/>
        <w:jc w:val="both"/>
      </w:pPr>
      <w:r>
        <w:rPr>
          <w:rFonts w:ascii="Arial" w:eastAsia="Arial" w:hAnsi="Arial" w:cs="Arial"/>
          <w:sz w:val="24"/>
        </w:rPr>
        <w:t xml:space="preserve">VR = Valor de Referência - equivalente a Unidade Fiscal </w:t>
      </w:r>
      <w:r>
        <w:rPr>
          <w:rFonts w:ascii="Arial" w:eastAsia="Arial" w:hAnsi="Arial" w:cs="Arial"/>
          <w:sz w:val="24"/>
        </w:rPr>
        <w:t xml:space="preserve">do Município (UFM) vigente; </w:t>
      </w:r>
    </w:p>
    <w:p w:rsidR="00803937" w:rsidRDefault="00516FD1">
      <w:pPr>
        <w:spacing w:after="0" w:line="249" w:lineRule="auto"/>
        <w:ind w:left="-15" w:firstLine="698"/>
        <w:jc w:val="both"/>
      </w:pPr>
      <w:r>
        <w:rPr>
          <w:rFonts w:ascii="Arial" w:eastAsia="Arial" w:hAnsi="Arial" w:cs="Arial"/>
          <w:sz w:val="24"/>
        </w:rPr>
        <w:t xml:space="preserve">IC = Índice de Compensação, conforme determinado no Anexo Único, que faz parte integrante desta Lei Complementar; </w:t>
      </w:r>
    </w:p>
    <w:p w:rsidR="00803937" w:rsidRDefault="00516FD1">
      <w:pPr>
        <w:spacing w:after="0" w:line="249" w:lineRule="auto"/>
        <w:ind w:left="-15" w:firstLine="698"/>
        <w:jc w:val="both"/>
      </w:pPr>
      <w:r>
        <w:rPr>
          <w:rFonts w:ascii="Arial" w:eastAsia="Arial" w:hAnsi="Arial" w:cs="Arial"/>
          <w:sz w:val="24"/>
        </w:rPr>
        <w:t>ZF = Zona Fiscal: o coeficiente de multiplicação será definido pelo Setor Urbano, Corredor Urbano ou Zona de Tra</w:t>
      </w:r>
      <w:r>
        <w:rPr>
          <w:rFonts w:ascii="Arial" w:eastAsia="Arial" w:hAnsi="Arial" w:cs="Arial"/>
          <w:sz w:val="24"/>
        </w:rPr>
        <w:t xml:space="preserve">nsição de localização do imóvel, definido pelo Plano Diretor Urbano de Manaus. </w:t>
      </w:r>
    </w:p>
    <w:p w:rsidR="00803937" w:rsidRDefault="00516FD1">
      <w:pPr>
        <w:spacing w:after="0"/>
        <w:ind w:left="708"/>
      </w:pPr>
      <w:r>
        <w:rPr>
          <w:rFonts w:ascii="Arial" w:eastAsia="Arial" w:hAnsi="Arial" w:cs="Arial"/>
          <w:sz w:val="24"/>
        </w:rPr>
        <w:t xml:space="preserve"> </w:t>
      </w:r>
    </w:p>
    <w:p w:rsidR="00803937" w:rsidRDefault="00516FD1">
      <w:pPr>
        <w:spacing w:after="0" w:line="249" w:lineRule="auto"/>
        <w:ind w:left="-15" w:firstLine="698"/>
        <w:jc w:val="both"/>
      </w:pPr>
      <w:r>
        <w:rPr>
          <w:rFonts w:ascii="Arial" w:eastAsia="Arial" w:hAnsi="Arial" w:cs="Arial"/>
          <w:b/>
          <w:sz w:val="24"/>
        </w:rPr>
        <w:t xml:space="preserve">Parágrafo único. </w:t>
      </w:r>
      <w:r>
        <w:rPr>
          <w:rFonts w:ascii="Arial" w:eastAsia="Arial" w:hAnsi="Arial" w:cs="Arial"/>
          <w:sz w:val="24"/>
        </w:rPr>
        <w:t xml:space="preserve">Para fins de definição da Zona Fiscal e respectivo coeficiente de multiplicação, fica devido: </w:t>
      </w:r>
    </w:p>
    <w:p w:rsidR="00803937" w:rsidRDefault="00516FD1">
      <w:pPr>
        <w:numPr>
          <w:ilvl w:val="0"/>
          <w:numId w:val="5"/>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para edificações localizadas sobre a abrangência de Corredores Urbanos, o coeficiente igual a 2,0; </w:t>
      </w:r>
    </w:p>
    <w:p w:rsidR="00803937" w:rsidRDefault="00516FD1">
      <w:pPr>
        <w:numPr>
          <w:ilvl w:val="0"/>
          <w:numId w:val="5"/>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para edificações localizadas nos Setores Urbanos 1, 3, 5, 9, 10, 11, 12, 13, 14 e 15, o coeficiente igual a 1,75; </w:t>
      </w:r>
    </w:p>
    <w:p w:rsidR="00803937" w:rsidRDefault="00516FD1">
      <w:pPr>
        <w:numPr>
          <w:ilvl w:val="0"/>
          <w:numId w:val="5"/>
        </w:numPr>
        <w:spacing w:after="0" w:line="249" w:lineRule="auto"/>
        <w:ind w:firstLine="698"/>
        <w:jc w:val="both"/>
      </w:pPr>
      <w:r>
        <w:rPr>
          <w:rFonts w:ascii="Arial" w:eastAsia="Arial" w:hAnsi="Arial" w:cs="Arial"/>
          <w:b/>
          <w:sz w:val="24"/>
        </w:rPr>
        <w:t xml:space="preserve">– </w:t>
      </w:r>
      <w:r>
        <w:rPr>
          <w:rFonts w:ascii="Arial" w:eastAsia="Arial" w:hAnsi="Arial" w:cs="Arial"/>
          <w:sz w:val="24"/>
        </w:rPr>
        <w:t>para edificações localizadas nos Seto</w:t>
      </w:r>
      <w:r>
        <w:rPr>
          <w:rFonts w:ascii="Arial" w:eastAsia="Arial" w:hAnsi="Arial" w:cs="Arial"/>
          <w:sz w:val="24"/>
        </w:rPr>
        <w:t xml:space="preserve">res Urbanos 2, 4, 6, 7, 8, 16, 17 e 18, o coeficiente igual a 1,5; </w:t>
      </w:r>
    </w:p>
    <w:p w:rsidR="00803937" w:rsidRDefault="00516FD1">
      <w:pPr>
        <w:numPr>
          <w:ilvl w:val="0"/>
          <w:numId w:val="5"/>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para edificações localizadas nas Zonas de Transição, o coeficiente igual a 1,25.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9.º </w:t>
      </w:r>
      <w:r>
        <w:rPr>
          <w:rFonts w:ascii="Arial" w:eastAsia="Arial" w:hAnsi="Arial" w:cs="Arial"/>
          <w:sz w:val="24"/>
        </w:rPr>
        <w:t>A compensação urbanística somente incidirá sobre as áreas que estiverem em desacordo com os i</w:t>
      </w:r>
      <w:r>
        <w:rPr>
          <w:rFonts w:ascii="Arial" w:eastAsia="Arial" w:hAnsi="Arial" w:cs="Arial"/>
          <w:sz w:val="24"/>
        </w:rPr>
        <w:t xml:space="preserve">tens apresentados no art. 7.º e utilizarão o índice de compensação conforme determinado no Anexo Único desta Lei Complementar.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Parágrafo único. </w:t>
      </w:r>
      <w:r>
        <w:rPr>
          <w:rFonts w:ascii="Arial" w:eastAsia="Arial" w:hAnsi="Arial" w:cs="Arial"/>
          <w:sz w:val="24"/>
        </w:rPr>
        <w:t>Na hipótese da edificação a ser regularizada exceder o Coeficiente de Aproveitamento Básico do Terreno (CABT)</w:t>
      </w:r>
      <w:r>
        <w:rPr>
          <w:rFonts w:ascii="Arial" w:eastAsia="Arial" w:hAnsi="Arial" w:cs="Arial"/>
          <w:sz w:val="24"/>
        </w:rPr>
        <w:t xml:space="preserve"> e estiver localizada em zoneamentos que permitam a outorga onerosa do direito de construir, deverão ser utilizados os índices da outorga até o Coeficiente de Aproveitamento Máximo do Terreno (CAMT) permitido em Lei.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10. </w:t>
      </w:r>
      <w:r>
        <w:rPr>
          <w:rFonts w:ascii="Arial" w:eastAsia="Arial" w:hAnsi="Arial" w:cs="Arial"/>
          <w:sz w:val="24"/>
        </w:rPr>
        <w:t xml:space="preserve">Quando houver mais de um item em desacordo com a legislação urbanística, estes deverão ser somados, de forma que a compensação urbanística total seja calculada pela soma das compensações dos itens previstos no art. 7.º desta Lei.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Parágrafo único. </w:t>
      </w:r>
      <w:r>
        <w:rPr>
          <w:rFonts w:ascii="Arial" w:eastAsia="Arial" w:hAnsi="Arial" w:cs="Arial"/>
          <w:sz w:val="24"/>
        </w:rPr>
        <w:t>Quando</w:t>
      </w:r>
      <w:r>
        <w:rPr>
          <w:rFonts w:ascii="Arial" w:eastAsia="Arial" w:hAnsi="Arial" w:cs="Arial"/>
          <w:sz w:val="24"/>
        </w:rPr>
        <w:t xml:space="preserve"> os itens em desacordo estiverem enquadrados em categorias cujo índice de compensação seja diferente, conforme Anexo Único, eles deverão ser calculados individualmente e, posteriormente, somados.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11. </w:t>
      </w:r>
      <w:r>
        <w:rPr>
          <w:rFonts w:ascii="Arial" w:eastAsia="Arial" w:hAnsi="Arial" w:cs="Arial"/>
          <w:sz w:val="24"/>
        </w:rPr>
        <w:t>A emissão do alvará de construção e/ou habite-se</w:t>
      </w:r>
      <w:r>
        <w:rPr>
          <w:rFonts w:ascii="Arial" w:eastAsia="Arial" w:hAnsi="Arial" w:cs="Arial"/>
          <w:sz w:val="24"/>
        </w:rPr>
        <w:t xml:space="preserve"> da edificação regularizada por meio desta Lei Complementar fica condicionada ao pagamento integral do valor auferido como compensação urbanística.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 1.º </w:t>
      </w:r>
      <w:r>
        <w:rPr>
          <w:rFonts w:ascii="Arial" w:eastAsia="Arial" w:hAnsi="Arial" w:cs="Arial"/>
          <w:sz w:val="24"/>
        </w:rPr>
        <w:t>O valor auferido poderá ser pago parceladamente, de forma mensal e dentro do exercício, após a assi</w:t>
      </w:r>
      <w:r>
        <w:rPr>
          <w:rFonts w:ascii="Arial" w:eastAsia="Arial" w:hAnsi="Arial" w:cs="Arial"/>
          <w:sz w:val="24"/>
        </w:rPr>
        <w:t xml:space="preserve">natura do Termo de Confissão de Dívida e Promessa de Pagamento de Débito Não Tributário, desde que cada parcela seja de, no mínimo, 01 (uma) Unidade Fiscal do Município (UFM).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 2.º </w:t>
      </w:r>
      <w:r>
        <w:rPr>
          <w:rFonts w:ascii="Arial" w:eastAsia="Arial" w:hAnsi="Arial" w:cs="Arial"/>
          <w:sz w:val="24"/>
        </w:rPr>
        <w:t xml:space="preserve">O não pagamento de 03 (três) parcelas consecutivas ou não, implicará o </w:t>
      </w:r>
      <w:r>
        <w:rPr>
          <w:rFonts w:ascii="Arial" w:eastAsia="Arial" w:hAnsi="Arial" w:cs="Arial"/>
          <w:sz w:val="24"/>
        </w:rPr>
        <w:t xml:space="preserve">cancelamento do parcelamento com a imediata inscrição em dívida ativa do saldo remanescente e demais providências cabíveis para recebimento das dívidas.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 3.º </w:t>
      </w:r>
      <w:r>
        <w:rPr>
          <w:rFonts w:ascii="Arial" w:eastAsia="Arial" w:hAnsi="Arial" w:cs="Arial"/>
          <w:sz w:val="24"/>
        </w:rPr>
        <w:t xml:space="preserve">É facultado ao contribuinte antecipar parcial ou totalmente o valor de parcelas vincendas.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12. </w:t>
      </w:r>
      <w:r>
        <w:rPr>
          <w:rFonts w:ascii="Arial" w:eastAsia="Arial" w:hAnsi="Arial" w:cs="Arial"/>
          <w:sz w:val="24"/>
        </w:rPr>
        <w:t xml:space="preserve">Os valores auferidos serão depositados em conta específica do Fundo Municipal de Desenvolvimento Urbano - FMDU, administrada pelo Implurb, e serão aplicados nos termos da legislação pertinente.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13. </w:t>
      </w:r>
      <w:r>
        <w:rPr>
          <w:rFonts w:ascii="Arial" w:eastAsia="Arial" w:hAnsi="Arial" w:cs="Arial"/>
          <w:sz w:val="24"/>
        </w:rPr>
        <w:t xml:space="preserve">Os pedidos de regularização e/ou habite-se de edificações com fundamento nesta Lei Complementar não isentam o proprietário do pagamento de tributos, preços públicos e outras obrigações legais incidentes sobre o imóvel.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15" w:firstLine="698"/>
        <w:jc w:val="both"/>
      </w:pPr>
      <w:r>
        <w:rPr>
          <w:rFonts w:ascii="Arial" w:eastAsia="Arial" w:hAnsi="Arial" w:cs="Arial"/>
          <w:b/>
          <w:sz w:val="24"/>
        </w:rPr>
        <w:t xml:space="preserve">Art. 14. </w:t>
      </w:r>
      <w:r>
        <w:rPr>
          <w:rFonts w:ascii="Arial" w:eastAsia="Arial" w:hAnsi="Arial" w:cs="Arial"/>
          <w:sz w:val="24"/>
        </w:rPr>
        <w:t>Esta Lei Complementar não</w:t>
      </w:r>
      <w:r>
        <w:rPr>
          <w:rFonts w:ascii="Arial" w:eastAsia="Arial" w:hAnsi="Arial" w:cs="Arial"/>
          <w:sz w:val="24"/>
        </w:rPr>
        <w:t xml:space="preserve"> isenta o proprietário do imóvel do pagamento de eventuais multas emitidas em razão de irregularidades constatadas na edificação, cumprimento de outorgas onerosas, medidas mitigadoras e compensatórias.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708"/>
        <w:jc w:val="both"/>
      </w:pPr>
      <w:r>
        <w:rPr>
          <w:rFonts w:ascii="Arial" w:eastAsia="Arial" w:hAnsi="Arial" w:cs="Arial"/>
          <w:b/>
          <w:sz w:val="24"/>
        </w:rPr>
        <w:t xml:space="preserve">Art. 15. </w:t>
      </w:r>
      <w:r>
        <w:rPr>
          <w:rFonts w:ascii="Arial" w:eastAsia="Arial" w:hAnsi="Arial" w:cs="Arial"/>
          <w:sz w:val="24"/>
        </w:rPr>
        <w:t xml:space="preserve">Ficam isentos de pagamento da compensação </w:t>
      </w:r>
      <w:r>
        <w:rPr>
          <w:rFonts w:ascii="Arial" w:eastAsia="Arial" w:hAnsi="Arial" w:cs="Arial"/>
          <w:sz w:val="24"/>
        </w:rPr>
        <w:t xml:space="preserve">urbanística: </w:t>
      </w:r>
    </w:p>
    <w:p w:rsidR="00803937" w:rsidRDefault="00516FD1">
      <w:pPr>
        <w:numPr>
          <w:ilvl w:val="0"/>
          <w:numId w:val="6"/>
        </w:numPr>
        <w:spacing w:after="0" w:line="249" w:lineRule="auto"/>
        <w:ind w:firstLine="698"/>
        <w:jc w:val="both"/>
      </w:pPr>
      <w:r>
        <w:rPr>
          <w:rFonts w:ascii="Arial" w:eastAsia="Arial" w:hAnsi="Arial" w:cs="Arial"/>
          <w:b/>
          <w:sz w:val="24"/>
        </w:rPr>
        <w:t xml:space="preserve">– </w:t>
      </w:r>
      <w:r>
        <w:rPr>
          <w:rFonts w:ascii="Arial" w:eastAsia="Arial" w:hAnsi="Arial" w:cs="Arial"/>
          <w:sz w:val="24"/>
        </w:rPr>
        <w:t xml:space="preserve">os entes públicos; </w:t>
      </w:r>
    </w:p>
    <w:p w:rsidR="00803937" w:rsidRDefault="00516FD1">
      <w:pPr>
        <w:numPr>
          <w:ilvl w:val="0"/>
          <w:numId w:val="6"/>
        </w:numPr>
        <w:spacing w:after="0" w:line="249" w:lineRule="auto"/>
        <w:ind w:firstLine="698"/>
        <w:jc w:val="both"/>
      </w:pPr>
      <w:r>
        <w:rPr>
          <w:rFonts w:ascii="Arial" w:eastAsia="Arial" w:hAnsi="Arial" w:cs="Arial"/>
          <w:b/>
          <w:sz w:val="24"/>
        </w:rPr>
        <w:t xml:space="preserve">– </w:t>
      </w:r>
      <w:r>
        <w:rPr>
          <w:rFonts w:ascii="Arial" w:eastAsia="Arial" w:hAnsi="Arial" w:cs="Arial"/>
          <w:sz w:val="24"/>
        </w:rPr>
        <w:t>imóveis que sejam objetos de programas de regularização edilícia promovida pelo Estado ou Município, mediante Assistência Técnica de Habitação de Interesse Social (ATHIS) ou similar, com área construída de até 100m², c</w:t>
      </w:r>
      <w:r>
        <w:rPr>
          <w:rFonts w:ascii="Arial" w:eastAsia="Arial" w:hAnsi="Arial" w:cs="Arial"/>
          <w:sz w:val="24"/>
        </w:rPr>
        <w:t xml:space="preserve">om ações voltadas para o Direito à Cidade e, principalmente, aquelas destinadas à conquista da moradia digna.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708"/>
        <w:jc w:val="both"/>
      </w:pPr>
      <w:r>
        <w:rPr>
          <w:rFonts w:ascii="Arial" w:eastAsia="Arial" w:hAnsi="Arial" w:cs="Arial"/>
          <w:b/>
          <w:sz w:val="24"/>
        </w:rPr>
        <w:t xml:space="preserve">Art. 16. </w:t>
      </w:r>
      <w:r>
        <w:rPr>
          <w:rFonts w:ascii="Arial" w:eastAsia="Arial" w:hAnsi="Arial" w:cs="Arial"/>
          <w:sz w:val="24"/>
        </w:rPr>
        <w:t xml:space="preserve">O Poder Executivo regulamentará esta Lei no que couber. </w:t>
      </w:r>
    </w:p>
    <w:p w:rsidR="00803937" w:rsidRDefault="00516FD1">
      <w:pPr>
        <w:spacing w:after="0"/>
        <w:ind w:left="708"/>
      </w:pPr>
      <w:r>
        <w:rPr>
          <w:rFonts w:ascii="Arial" w:eastAsia="Arial" w:hAnsi="Arial" w:cs="Arial"/>
          <w:b/>
          <w:sz w:val="24"/>
        </w:rPr>
        <w:t xml:space="preserve"> </w:t>
      </w:r>
    </w:p>
    <w:p w:rsidR="00803937" w:rsidRDefault="00516FD1">
      <w:pPr>
        <w:spacing w:after="0" w:line="249" w:lineRule="auto"/>
        <w:ind w:left="708"/>
        <w:jc w:val="both"/>
      </w:pPr>
      <w:r>
        <w:rPr>
          <w:rFonts w:ascii="Arial" w:eastAsia="Arial" w:hAnsi="Arial" w:cs="Arial"/>
          <w:b/>
          <w:sz w:val="24"/>
        </w:rPr>
        <w:t xml:space="preserve">Art. 17. </w:t>
      </w:r>
      <w:r>
        <w:rPr>
          <w:rFonts w:ascii="Arial" w:eastAsia="Arial" w:hAnsi="Arial" w:cs="Arial"/>
          <w:sz w:val="24"/>
        </w:rPr>
        <w:t xml:space="preserve">Esta Lei Complementar entra em vigor na data de sua publicação. </w:t>
      </w:r>
    </w:p>
    <w:p w:rsidR="00803937" w:rsidRDefault="00516FD1">
      <w:pPr>
        <w:spacing w:after="0"/>
      </w:pPr>
      <w:r>
        <w:rPr>
          <w:rFonts w:ascii="Arial" w:eastAsia="Arial" w:hAnsi="Arial" w:cs="Arial"/>
          <w:sz w:val="24"/>
        </w:rPr>
        <w:t xml:space="preserve"> </w:t>
      </w:r>
    </w:p>
    <w:p w:rsidR="00803937" w:rsidRDefault="00516FD1">
      <w:pPr>
        <w:spacing w:after="0"/>
        <w:ind w:left="10" w:right="4" w:hanging="10"/>
        <w:jc w:val="center"/>
      </w:pPr>
      <w:r>
        <w:rPr>
          <w:rFonts w:ascii="Arial" w:eastAsia="Arial" w:hAnsi="Arial" w:cs="Arial"/>
          <w:sz w:val="24"/>
        </w:rPr>
        <w:t xml:space="preserve">Manaus, 06 de janeiro de 2026. </w:t>
      </w:r>
    </w:p>
    <w:p w:rsidR="00803937" w:rsidRDefault="00516FD1">
      <w:pPr>
        <w:spacing w:after="0"/>
        <w:ind w:left="62"/>
        <w:jc w:val="center"/>
      </w:pPr>
      <w:r>
        <w:rPr>
          <w:rFonts w:ascii="Arial" w:eastAsia="Arial" w:hAnsi="Arial" w:cs="Arial"/>
          <w:sz w:val="24"/>
        </w:rPr>
        <w:t xml:space="preserve"> </w:t>
      </w:r>
    </w:p>
    <w:p w:rsidR="00803937" w:rsidRDefault="00516FD1">
      <w:pPr>
        <w:spacing w:after="1"/>
        <w:ind w:left="10" w:right="4" w:hanging="10"/>
        <w:jc w:val="center"/>
      </w:pPr>
      <w:r>
        <w:rPr>
          <w:rFonts w:ascii="Arial" w:eastAsia="Arial" w:hAnsi="Arial" w:cs="Arial"/>
          <w:b/>
          <w:sz w:val="24"/>
        </w:rPr>
        <w:t xml:space="preserve">DAVID ANTÔNIO ABISAI PEREIRA DE ALMEIDA </w:t>
      </w:r>
    </w:p>
    <w:p w:rsidR="00803937" w:rsidRDefault="00516FD1">
      <w:pPr>
        <w:spacing w:after="0"/>
        <w:ind w:left="10" w:right="1" w:hanging="10"/>
        <w:jc w:val="center"/>
      </w:pPr>
      <w:r>
        <w:rPr>
          <w:rFonts w:ascii="Arial" w:eastAsia="Arial" w:hAnsi="Arial" w:cs="Arial"/>
          <w:sz w:val="24"/>
        </w:rPr>
        <w:t xml:space="preserve">Prefeito de Manaus </w:t>
      </w:r>
    </w:p>
    <w:p w:rsidR="00803937" w:rsidRDefault="00516FD1">
      <w:pPr>
        <w:spacing w:after="0"/>
        <w:ind w:left="62"/>
        <w:jc w:val="center"/>
      </w:pPr>
      <w:r>
        <w:rPr>
          <w:rFonts w:ascii="Arial" w:eastAsia="Arial" w:hAnsi="Arial" w:cs="Arial"/>
          <w:sz w:val="24"/>
        </w:rPr>
        <w:t xml:space="preserve"> </w:t>
      </w:r>
    </w:p>
    <w:p w:rsidR="00803937" w:rsidRDefault="00516FD1">
      <w:pPr>
        <w:spacing w:after="0"/>
      </w:pPr>
      <w:r>
        <w:rPr>
          <w:rFonts w:ascii="Arial" w:eastAsia="Arial" w:hAnsi="Arial" w:cs="Arial"/>
          <w:sz w:val="20"/>
        </w:rPr>
        <w:t xml:space="preserve">Este texto não substitui o publicado no DOM, de 06.01.2026 – Edição n. 6225, Ano XXVII. </w:t>
      </w:r>
    </w:p>
    <w:p w:rsidR="00803937" w:rsidRDefault="00516FD1">
      <w:pPr>
        <w:spacing w:after="0"/>
      </w:pPr>
      <w:r>
        <w:rPr>
          <w:rFonts w:ascii="Arial" w:eastAsia="Arial" w:hAnsi="Arial" w:cs="Arial"/>
          <w:sz w:val="24"/>
        </w:rPr>
        <w:t xml:space="preserve"> </w:t>
      </w:r>
    </w:p>
    <w:p w:rsidR="00803937" w:rsidRDefault="00516FD1">
      <w:pPr>
        <w:pStyle w:val="Ttulo1"/>
        <w:ind w:right="3626"/>
      </w:pPr>
      <w:r>
        <w:t>ANEXO ÚNICO</w:t>
      </w:r>
      <w:r>
        <w:rPr>
          <w:b w:val="0"/>
        </w:rPr>
        <w:t xml:space="preserve"> </w:t>
      </w:r>
    </w:p>
    <w:p w:rsidR="00803937" w:rsidRDefault="00516FD1">
      <w:pPr>
        <w:spacing w:after="0"/>
      </w:pPr>
      <w:r>
        <w:rPr>
          <w:rFonts w:ascii="Arial" w:eastAsia="Arial" w:hAnsi="Arial" w:cs="Arial"/>
          <w:sz w:val="24"/>
        </w:rPr>
        <w:t xml:space="preserve"> </w:t>
      </w:r>
    </w:p>
    <w:tbl>
      <w:tblPr>
        <w:tblStyle w:val="TableGrid"/>
        <w:tblW w:w="8922" w:type="dxa"/>
        <w:tblInd w:w="5" w:type="dxa"/>
        <w:tblCellMar>
          <w:top w:w="5" w:type="dxa"/>
          <w:left w:w="106" w:type="dxa"/>
          <w:bottom w:w="0" w:type="dxa"/>
          <w:right w:w="61" w:type="dxa"/>
        </w:tblCellMar>
        <w:tblLook w:val="04A0" w:firstRow="1" w:lastRow="0" w:firstColumn="1" w:lastColumn="0" w:noHBand="0" w:noVBand="1"/>
      </w:tblPr>
      <w:tblGrid>
        <w:gridCol w:w="703"/>
        <w:gridCol w:w="3262"/>
        <w:gridCol w:w="3263"/>
        <w:gridCol w:w="1694"/>
      </w:tblGrid>
      <w:tr w:rsidR="00803937">
        <w:trPr>
          <w:trHeight w:val="216"/>
        </w:trPr>
        <w:tc>
          <w:tcPr>
            <w:tcW w:w="703" w:type="dxa"/>
            <w:tcBorders>
              <w:top w:val="single" w:sz="4" w:space="0" w:color="000000"/>
              <w:left w:val="single" w:sz="4" w:space="0" w:color="000000"/>
              <w:bottom w:val="single" w:sz="4" w:space="0" w:color="000000"/>
              <w:right w:val="nil"/>
            </w:tcBorders>
          </w:tcPr>
          <w:p w:rsidR="00803937" w:rsidRDefault="00803937"/>
        </w:tc>
        <w:tc>
          <w:tcPr>
            <w:tcW w:w="6525" w:type="dxa"/>
            <w:gridSpan w:val="2"/>
            <w:tcBorders>
              <w:top w:val="single" w:sz="4" w:space="0" w:color="000000"/>
              <w:left w:val="nil"/>
              <w:bottom w:val="single" w:sz="4" w:space="0" w:color="000000"/>
              <w:right w:val="nil"/>
            </w:tcBorders>
          </w:tcPr>
          <w:p w:rsidR="00803937" w:rsidRDefault="00516FD1">
            <w:pPr>
              <w:spacing w:after="0"/>
              <w:ind w:left="1875"/>
            </w:pPr>
            <w:r>
              <w:rPr>
                <w:rFonts w:ascii="Arial" w:eastAsia="Arial" w:hAnsi="Arial" w:cs="Arial"/>
                <w:b/>
                <w:sz w:val="18"/>
              </w:rPr>
              <w:t>QUADRO DE ÍNDICE DE COMPENSAÇÃO</w:t>
            </w:r>
            <w:r>
              <w:rPr>
                <w:rFonts w:ascii="Arial" w:eastAsia="Arial" w:hAnsi="Arial" w:cs="Arial"/>
                <w:sz w:val="18"/>
              </w:rPr>
              <w:t xml:space="preserve"> </w:t>
            </w:r>
          </w:p>
        </w:tc>
        <w:tc>
          <w:tcPr>
            <w:tcW w:w="1694" w:type="dxa"/>
            <w:tcBorders>
              <w:top w:val="single" w:sz="4" w:space="0" w:color="000000"/>
              <w:left w:val="nil"/>
              <w:bottom w:val="single" w:sz="4" w:space="0" w:color="000000"/>
              <w:right w:val="single" w:sz="4" w:space="0" w:color="000000"/>
            </w:tcBorders>
          </w:tcPr>
          <w:p w:rsidR="00803937" w:rsidRDefault="00803937"/>
        </w:tc>
      </w:tr>
      <w:tr w:rsidR="00803937">
        <w:trPr>
          <w:trHeight w:val="425"/>
        </w:trPr>
        <w:tc>
          <w:tcPr>
            <w:tcW w:w="70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left="31"/>
            </w:pPr>
            <w:r>
              <w:rPr>
                <w:rFonts w:ascii="Arial" w:eastAsia="Arial" w:hAnsi="Arial" w:cs="Arial"/>
                <w:b/>
                <w:sz w:val="18"/>
              </w:rPr>
              <w:t>ITEM</w:t>
            </w:r>
            <w:r>
              <w:rPr>
                <w:rFonts w:ascii="Arial" w:eastAsia="Arial" w:hAnsi="Arial" w:cs="Arial"/>
                <w:sz w:val="18"/>
              </w:rPr>
              <w:t xml:space="preserve"> </w:t>
            </w:r>
          </w:p>
        </w:tc>
        <w:tc>
          <w:tcPr>
            <w:tcW w:w="3262"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52"/>
              <w:jc w:val="center"/>
            </w:pPr>
            <w:r>
              <w:rPr>
                <w:rFonts w:ascii="Arial" w:eastAsia="Arial" w:hAnsi="Arial" w:cs="Arial"/>
                <w:b/>
                <w:sz w:val="18"/>
              </w:rPr>
              <w:t>IRREGULARIDADE</w:t>
            </w:r>
            <w:r>
              <w:rPr>
                <w:rFonts w:ascii="Arial" w:eastAsia="Arial" w:hAnsi="Arial" w:cs="Arial"/>
                <w:sz w:val="18"/>
              </w:rPr>
              <w:t xml:space="preserve"> </w:t>
            </w:r>
          </w:p>
        </w:tc>
        <w:tc>
          <w:tcPr>
            <w:tcW w:w="326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52"/>
              <w:jc w:val="center"/>
            </w:pPr>
            <w:r>
              <w:rPr>
                <w:rFonts w:ascii="Arial" w:eastAsia="Arial" w:hAnsi="Arial" w:cs="Arial"/>
                <w:b/>
                <w:sz w:val="18"/>
              </w:rPr>
              <w:t>CÁLCULO DA COMPENSAÇÃO</w:t>
            </w:r>
            <w:r>
              <w:rPr>
                <w:rFonts w:ascii="Arial" w:eastAsia="Arial" w:hAnsi="Arial" w:cs="Arial"/>
                <w:sz w:val="18"/>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46"/>
              <w:jc w:val="center"/>
            </w:pPr>
            <w:r>
              <w:rPr>
                <w:rFonts w:ascii="Arial" w:eastAsia="Arial" w:hAnsi="Arial" w:cs="Arial"/>
                <w:b/>
                <w:sz w:val="18"/>
              </w:rPr>
              <w:t xml:space="preserve">ÍNDICE DE </w:t>
            </w:r>
          </w:p>
          <w:p w:rsidR="00803937" w:rsidRDefault="00516FD1">
            <w:pPr>
              <w:spacing w:after="0"/>
              <w:ind w:left="19"/>
            </w:pPr>
            <w:r>
              <w:rPr>
                <w:rFonts w:ascii="Arial" w:eastAsia="Arial" w:hAnsi="Arial" w:cs="Arial"/>
                <w:b/>
                <w:sz w:val="18"/>
              </w:rPr>
              <w:t>COMPENSAÇÃO</w:t>
            </w:r>
            <w:r>
              <w:rPr>
                <w:rFonts w:ascii="Arial" w:eastAsia="Arial" w:hAnsi="Arial" w:cs="Arial"/>
                <w:sz w:val="18"/>
              </w:rPr>
              <w:t xml:space="preserve"> </w:t>
            </w:r>
          </w:p>
        </w:tc>
      </w:tr>
      <w:tr w:rsidR="00803937">
        <w:trPr>
          <w:trHeight w:val="216"/>
        </w:trPr>
        <w:tc>
          <w:tcPr>
            <w:tcW w:w="703"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47"/>
              <w:jc w:val="center"/>
            </w:pPr>
            <w:r>
              <w:rPr>
                <w:rFonts w:ascii="Arial" w:eastAsia="Arial" w:hAnsi="Arial" w:cs="Arial"/>
                <w:sz w:val="18"/>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47"/>
              <w:jc w:val="center"/>
            </w:pPr>
            <w:r>
              <w:rPr>
                <w:rFonts w:ascii="Arial" w:eastAsia="Arial" w:hAnsi="Arial" w:cs="Arial"/>
                <w:sz w:val="18"/>
              </w:rPr>
              <w:t xml:space="preserve">Falta de área permeável. </w:t>
            </w:r>
          </w:p>
        </w:tc>
        <w:tc>
          <w:tcPr>
            <w:tcW w:w="3263" w:type="dxa"/>
            <w:tcBorders>
              <w:top w:val="single" w:sz="4" w:space="0" w:color="000000"/>
              <w:left w:val="single" w:sz="4" w:space="0" w:color="000000"/>
              <w:bottom w:val="single" w:sz="4" w:space="0" w:color="000000"/>
              <w:right w:val="single" w:sz="4" w:space="0" w:color="000000"/>
            </w:tcBorders>
          </w:tcPr>
          <w:p w:rsidR="00803937" w:rsidRDefault="00516FD1">
            <w:pPr>
              <w:spacing w:after="0"/>
            </w:pPr>
            <w:r>
              <w:rPr>
                <w:rFonts w:ascii="Arial" w:eastAsia="Arial" w:hAnsi="Arial" w:cs="Arial"/>
                <w:sz w:val="18"/>
              </w:rPr>
              <w:t xml:space="preserve">Incidirá sobre a área faltante. </w:t>
            </w:r>
          </w:p>
        </w:tc>
        <w:tc>
          <w:tcPr>
            <w:tcW w:w="1694"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48"/>
              <w:jc w:val="center"/>
            </w:pPr>
            <w:r>
              <w:rPr>
                <w:rFonts w:ascii="Arial" w:eastAsia="Arial" w:hAnsi="Arial" w:cs="Arial"/>
                <w:sz w:val="18"/>
              </w:rPr>
              <w:t xml:space="preserve">0,30 </w:t>
            </w:r>
          </w:p>
        </w:tc>
      </w:tr>
      <w:tr w:rsidR="00803937">
        <w:trPr>
          <w:trHeight w:val="425"/>
        </w:trPr>
        <w:tc>
          <w:tcPr>
            <w:tcW w:w="70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7"/>
              <w:jc w:val="center"/>
            </w:pPr>
            <w:r>
              <w:rPr>
                <w:rFonts w:ascii="Arial" w:eastAsia="Arial" w:hAnsi="Arial" w:cs="Arial"/>
                <w:sz w:val="18"/>
              </w:rPr>
              <w:t xml:space="preserve">2 </w:t>
            </w:r>
          </w:p>
        </w:tc>
        <w:tc>
          <w:tcPr>
            <w:tcW w:w="3262" w:type="dxa"/>
            <w:tcBorders>
              <w:top w:val="single" w:sz="4" w:space="0" w:color="000000"/>
              <w:left w:val="single" w:sz="4" w:space="0" w:color="000000"/>
              <w:bottom w:val="single" w:sz="4" w:space="0" w:color="000000"/>
              <w:right w:val="single" w:sz="4" w:space="0" w:color="000000"/>
            </w:tcBorders>
          </w:tcPr>
          <w:p w:rsidR="00803937" w:rsidRDefault="00516FD1">
            <w:pPr>
              <w:spacing w:after="0"/>
              <w:jc w:val="center"/>
            </w:pPr>
            <w:r>
              <w:rPr>
                <w:rFonts w:ascii="Arial" w:eastAsia="Arial" w:hAnsi="Arial" w:cs="Arial"/>
                <w:sz w:val="18"/>
              </w:rPr>
              <w:t xml:space="preserve">Falta de vaga de estacionamento / garagem. </w:t>
            </w:r>
          </w:p>
        </w:tc>
        <w:tc>
          <w:tcPr>
            <w:tcW w:w="326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pPr>
            <w:r>
              <w:rPr>
                <w:rFonts w:ascii="Arial" w:eastAsia="Arial" w:hAnsi="Arial" w:cs="Arial"/>
                <w:sz w:val="18"/>
              </w:rPr>
              <w:t xml:space="preserve">12,50m² por vaga. </w:t>
            </w:r>
          </w:p>
        </w:tc>
        <w:tc>
          <w:tcPr>
            <w:tcW w:w="1694"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8"/>
              <w:jc w:val="center"/>
            </w:pPr>
            <w:r>
              <w:rPr>
                <w:rFonts w:ascii="Arial" w:eastAsia="Arial" w:hAnsi="Arial" w:cs="Arial"/>
                <w:sz w:val="18"/>
              </w:rPr>
              <w:t xml:space="preserve">0,20 </w:t>
            </w:r>
          </w:p>
        </w:tc>
      </w:tr>
      <w:tr w:rsidR="00803937">
        <w:trPr>
          <w:trHeight w:val="631"/>
        </w:trPr>
        <w:tc>
          <w:tcPr>
            <w:tcW w:w="70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7"/>
              <w:jc w:val="center"/>
            </w:pPr>
            <w:r>
              <w:rPr>
                <w:rFonts w:ascii="Arial" w:eastAsia="Arial" w:hAnsi="Arial" w:cs="Arial"/>
                <w:sz w:val="18"/>
              </w:rPr>
              <w:t xml:space="preserve">3 </w:t>
            </w:r>
          </w:p>
          <w:p w:rsidR="00803937" w:rsidRDefault="00516FD1">
            <w:pPr>
              <w:spacing w:after="0"/>
              <w:ind w:left="3"/>
              <w:jc w:val="center"/>
            </w:pPr>
            <w:r>
              <w:rPr>
                <w:rFonts w:ascii="Arial" w:eastAsia="Arial" w:hAnsi="Arial" w:cs="Arial"/>
                <w:sz w:val="18"/>
              </w:rPr>
              <w:t xml:space="preserve"> </w:t>
            </w:r>
          </w:p>
        </w:tc>
        <w:tc>
          <w:tcPr>
            <w:tcW w:w="3262"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left="17" w:right="14"/>
              <w:jc w:val="center"/>
            </w:pPr>
            <w:r>
              <w:rPr>
                <w:rFonts w:ascii="Arial" w:eastAsia="Arial" w:hAnsi="Arial" w:cs="Arial"/>
                <w:sz w:val="18"/>
              </w:rPr>
              <w:t xml:space="preserve">Edificação avança sobre recuo frontal, lateral e fundos. </w:t>
            </w:r>
          </w:p>
        </w:tc>
        <w:tc>
          <w:tcPr>
            <w:tcW w:w="3263"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48"/>
              <w:jc w:val="both"/>
            </w:pPr>
            <w:r>
              <w:rPr>
                <w:rFonts w:ascii="Arial" w:eastAsia="Arial" w:hAnsi="Arial" w:cs="Arial"/>
                <w:sz w:val="18"/>
              </w:rPr>
              <w:t xml:space="preserve">Incidirá sobre a área construída que esteja sobre os recuos, multiplicado pelo número de pavimentos. </w:t>
            </w:r>
          </w:p>
        </w:tc>
        <w:tc>
          <w:tcPr>
            <w:tcW w:w="1694" w:type="dxa"/>
            <w:vMerge w:val="restart"/>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8"/>
              <w:jc w:val="center"/>
            </w:pPr>
            <w:r>
              <w:rPr>
                <w:rFonts w:ascii="Arial" w:eastAsia="Arial" w:hAnsi="Arial" w:cs="Arial"/>
                <w:sz w:val="18"/>
              </w:rPr>
              <w:t xml:space="preserve">0,10 </w:t>
            </w:r>
          </w:p>
        </w:tc>
      </w:tr>
      <w:tr w:rsidR="00803937">
        <w:trPr>
          <w:trHeight w:val="632"/>
        </w:trPr>
        <w:tc>
          <w:tcPr>
            <w:tcW w:w="70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7"/>
              <w:jc w:val="center"/>
            </w:pPr>
            <w:r>
              <w:rPr>
                <w:rFonts w:ascii="Arial" w:eastAsia="Arial" w:hAnsi="Arial" w:cs="Arial"/>
                <w:sz w:val="18"/>
              </w:rPr>
              <w:t xml:space="preserve">4 </w:t>
            </w:r>
          </w:p>
        </w:tc>
        <w:tc>
          <w:tcPr>
            <w:tcW w:w="3262"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8"/>
              <w:jc w:val="center"/>
            </w:pPr>
            <w:r>
              <w:rPr>
                <w:rFonts w:ascii="Arial" w:eastAsia="Arial" w:hAnsi="Arial" w:cs="Arial"/>
                <w:sz w:val="18"/>
              </w:rPr>
              <w:t xml:space="preserve">Recuo entre edificações não atende </w:t>
            </w:r>
          </w:p>
        </w:tc>
        <w:tc>
          <w:tcPr>
            <w:tcW w:w="3263"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48"/>
              <w:jc w:val="both"/>
            </w:pPr>
            <w:r>
              <w:rPr>
                <w:rFonts w:ascii="Arial" w:eastAsia="Arial" w:hAnsi="Arial" w:cs="Arial"/>
                <w:sz w:val="18"/>
              </w:rPr>
              <w:t xml:space="preserve">Incidirá sobre a área construída que esteja sobre o recuo, multiplicado pelo número de pavimentos. </w:t>
            </w:r>
          </w:p>
        </w:tc>
        <w:tc>
          <w:tcPr>
            <w:tcW w:w="0" w:type="auto"/>
            <w:vMerge/>
            <w:tcBorders>
              <w:top w:val="nil"/>
              <w:left w:val="single" w:sz="4" w:space="0" w:color="000000"/>
              <w:bottom w:val="nil"/>
              <w:right w:val="single" w:sz="4" w:space="0" w:color="000000"/>
            </w:tcBorders>
          </w:tcPr>
          <w:p w:rsidR="00803937" w:rsidRDefault="00803937"/>
        </w:tc>
      </w:tr>
      <w:tr w:rsidR="00803937">
        <w:trPr>
          <w:trHeight w:val="425"/>
        </w:trPr>
        <w:tc>
          <w:tcPr>
            <w:tcW w:w="703"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7"/>
              <w:jc w:val="center"/>
            </w:pPr>
            <w:r>
              <w:rPr>
                <w:rFonts w:ascii="Arial" w:eastAsia="Arial" w:hAnsi="Arial" w:cs="Arial"/>
                <w:sz w:val="18"/>
              </w:rPr>
              <w:t xml:space="preserve">5 </w:t>
            </w:r>
          </w:p>
        </w:tc>
        <w:tc>
          <w:tcPr>
            <w:tcW w:w="3262"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48"/>
              <w:jc w:val="center"/>
            </w:pPr>
            <w:r>
              <w:rPr>
                <w:rFonts w:ascii="Arial" w:eastAsia="Arial" w:hAnsi="Arial" w:cs="Arial"/>
                <w:sz w:val="18"/>
              </w:rPr>
              <w:t xml:space="preserve">Excede o gabarito permitido. </w:t>
            </w:r>
          </w:p>
        </w:tc>
        <w:tc>
          <w:tcPr>
            <w:tcW w:w="3263"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174"/>
            </w:pPr>
            <w:r>
              <w:rPr>
                <w:rFonts w:ascii="Arial" w:eastAsia="Arial" w:hAnsi="Arial" w:cs="Arial"/>
                <w:sz w:val="18"/>
              </w:rPr>
              <w:t xml:space="preserve">Incidirá sobre a área total construída do pavimento excedido. </w:t>
            </w:r>
          </w:p>
        </w:tc>
        <w:tc>
          <w:tcPr>
            <w:tcW w:w="0" w:type="auto"/>
            <w:vMerge/>
            <w:tcBorders>
              <w:top w:val="nil"/>
              <w:left w:val="single" w:sz="4" w:space="0" w:color="000000"/>
              <w:bottom w:val="single" w:sz="4" w:space="0" w:color="000000"/>
              <w:right w:val="single" w:sz="4" w:space="0" w:color="000000"/>
            </w:tcBorders>
          </w:tcPr>
          <w:p w:rsidR="00803937" w:rsidRDefault="00803937"/>
        </w:tc>
      </w:tr>
    </w:tbl>
    <w:p w:rsidR="00803937" w:rsidRDefault="00516FD1">
      <w:pPr>
        <w:spacing w:after="158"/>
      </w:pPr>
      <w:r>
        <w:t xml:space="preserve"> </w:t>
      </w:r>
    </w:p>
    <w:p w:rsidR="00803937" w:rsidRDefault="00516FD1">
      <w:pPr>
        <w:spacing w:after="0"/>
      </w:pPr>
      <w:r>
        <w:t xml:space="preserve"> </w:t>
      </w:r>
    </w:p>
    <w:p w:rsidR="00803937" w:rsidRDefault="00803937">
      <w:pPr>
        <w:sectPr w:rsidR="00803937">
          <w:headerReference w:type="even" r:id="rId7"/>
          <w:headerReference w:type="default" r:id="rId8"/>
          <w:footerReference w:type="even" r:id="rId9"/>
          <w:footerReference w:type="default" r:id="rId10"/>
          <w:headerReference w:type="first" r:id="rId11"/>
          <w:footerReference w:type="first" r:id="rId12"/>
          <w:pgSz w:w="11906" w:h="16838"/>
          <w:pgMar w:top="2214" w:right="1271" w:bottom="1572" w:left="1702" w:header="283" w:footer="709" w:gutter="0"/>
          <w:cols w:space="720"/>
        </w:sectPr>
      </w:pPr>
    </w:p>
    <w:p w:rsidR="00803937" w:rsidRDefault="00516FD1">
      <w:pPr>
        <w:spacing w:after="0"/>
        <w:ind w:right="15"/>
        <w:jc w:val="right"/>
      </w:pPr>
      <w:r>
        <w:rPr>
          <w:rFonts w:ascii="Arial" w:eastAsia="Arial" w:hAnsi="Arial" w:cs="Arial"/>
          <w:sz w:val="14"/>
        </w:rPr>
        <w:t xml:space="preserve"> </w:t>
      </w:r>
    </w:p>
    <w:p w:rsidR="00803937" w:rsidRDefault="00516FD1">
      <w:pPr>
        <w:spacing w:after="70"/>
      </w:pPr>
      <w:r>
        <w:rPr>
          <w:rFonts w:ascii="Arial" w:eastAsia="Arial" w:hAnsi="Arial" w:cs="Arial"/>
          <w:sz w:val="11"/>
        </w:rPr>
        <w:t xml:space="preserve"> </w:t>
      </w:r>
    </w:p>
    <w:p w:rsidR="00803937" w:rsidRDefault="00516FD1">
      <w:pPr>
        <w:tabs>
          <w:tab w:val="right" w:pos="9691"/>
        </w:tabs>
        <w:spacing w:after="0"/>
      </w:pPr>
      <w:r>
        <w:rPr>
          <w:rFonts w:ascii="Arial" w:eastAsia="Arial" w:hAnsi="Arial" w:cs="Arial"/>
          <w:sz w:val="18"/>
        </w:rPr>
        <w:t xml:space="preserve">Manaus, terça-feira, 06 de janeiro de 2026. </w:t>
      </w:r>
      <w:r>
        <w:rPr>
          <w:rFonts w:ascii="Arial" w:eastAsia="Arial" w:hAnsi="Arial" w:cs="Arial"/>
          <w:sz w:val="18"/>
        </w:rPr>
        <w:tab/>
        <w:t xml:space="preserve">Ano XXVII, Edição 6225  -   </w:t>
      </w:r>
      <w:r>
        <w:rPr>
          <w:rFonts w:ascii="Arial" w:eastAsia="Arial" w:hAnsi="Arial" w:cs="Arial"/>
          <w:b/>
          <w:sz w:val="18"/>
        </w:rPr>
        <w:t>R$ 1,00</w:t>
      </w:r>
    </w:p>
    <w:p w:rsidR="00803937" w:rsidRDefault="00516FD1">
      <w:pPr>
        <w:spacing w:after="279"/>
      </w:pPr>
      <w:r>
        <w:rPr>
          <w:rFonts w:ascii="Arial" w:eastAsia="Arial" w:hAnsi="Arial" w:cs="Arial"/>
          <w:sz w:val="5"/>
        </w:rPr>
        <w:t xml:space="preserve"> </w:t>
      </w:r>
    </w:p>
    <w:p w:rsidR="00803937" w:rsidRDefault="00516FD1">
      <w:pPr>
        <w:pStyle w:val="Ttulo1"/>
        <w:shd w:val="clear" w:color="auto" w:fill="D9D9D9"/>
        <w:ind w:right="52"/>
        <w:jc w:val="center"/>
      </w:pPr>
      <w:r>
        <w:rPr>
          <w:sz w:val="30"/>
        </w:rPr>
        <w:t xml:space="preserve">Poder Executivo </w:t>
      </w:r>
    </w:p>
    <w:p w:rsidR="00803937" w:rsidRDefault="00516FD1">
      <w:pPr>
        <w:spacing w:after="42"/>
      </w:pPr>
      <w:r>
        <w:rPr>
          <w:rFonts w:ascii="Arial" w:eastAsia="Arial" w:hAnsi="Arial" w:cs="Arial"/>
          <w:sz w:val="13"/>
        </w:rPr>
        <w:t xml:space="preserve"> </w:t>
      </w:r>
    </w:p>
    <w:p w:rsidR="00803937" w:rsidRDefault="00516FD1">
      <w:pPr>
        <w:spacing w:after="4" w:line="249" w:lineRule="auto"/>
        <w:ind w:left="-15" w:firstLine="350"/>
        <w:jc w:val="both"/>
      </w:pPr>
      <w:r>
        <w:rPr>
          <w:rFonts w:ascii="Arial" w:eastAsia="Arial" w:hAnsi="Arial" w:cs="Arial"/>
          <w:b/>
          <w:sz w:val="17"/>
        </w:rPr>
        <w:t xml:space="preserve">LEI COMPLEMENTAR N. 029, DE 06 DE JANEIRO DE 2026 </w:t>
      </w:r>
      <w:r>
        <w:rPr>
          <w:rFonts w:ascii="Arial" w:eastAsia="Arial" w:hAnsi="Arial" w:cs="Arial"/>
          <w:b/>
          <w:sz w:val="17"/>
        </w:rPr>
        <w:tab/>
        <w:t xml:space="preserve">I – </w:t>
      </w:r>
      <w:r>
        <w:rPr>
          <w:rFonts w:ascii="Arial" w:eastAsia="Arial" w:hAnsi="Arial" w:cs="Arial"/>
          <w:sz w:val="17"/>
        </w:rPr>
        <w:t xml:space="preserve">não invadam logradouro público e nem o espaço da </w:t>
      </w:r>
      <w:r>
        <w:rPr>
          <w:rFonts w:ascii="Arial" w:eastAsia="Arial" w:hAnsi="Arial" w:cs="Arial"/>
          <w:b/>
          <w:sz w:val="19"/>
        </w:rPr>
        <w:t xml:space="preserve"> </w:t>
      </w:r>
      <w:r>
        <w:rPr>
          <w:rFonts w:ascii="Arial" w:eastAsia="Arial" w:hAnsi="Arial" w:cs="Arial"/>
          <w:b/>
          <w:sz w:val="19"/>
        </w:rPr>
        <w:tab/>
      </w:r>
      <w:r>
        <w:rPr>
          <w:rFonts w:ascii="Arial" w:eastAsia="Arial" w:hAnsi="Arial" w:cs="Arial"/>
          <w:sz w:val="17"/>
        </w:rPr>
        <w:t xml:space="preserve">vizinhança; </w:t>
      </w:r>
    </w:p>
    <w:p w:rsidR="00803937" w:rsidRDefault="00516FD1">
      <w:pPr>
        <w:spacing w:after="4" w:line="249" w:lineRule="auto"/>
        <w:ind w:left="1712" w:hanging="10"/>
        <w:jc w:val="both"/>
      </w:pPr>
      <w:r>
        <w:rPr>
          <w:rFonts w:ascii="Arial" w:eastAsia="Arial" w:hAnsi="Arial" w:cs="Arial"/>
          <w:b/>
          <w:sz w:val="17"/>
        </w:rPr>
        <w:t xml:space="preserve">ESTABELECE </w:t>
      </w:r>
      <w:r>
        <w:rPr>
          <w:rFonts w:ascii="Arial" w:eastAsia="Arial" w:hAnsi="Arial" w:cs="Arial"/>
          <w:sz w:val="17"/>
        </w:rPr>
        <w:t>critérios para a regular</w:t>
      </w:r>
      <w:r>
        <w:rPr>
          <w:rFonts w:ascii="Arial" w:eastAsia="Arial" w:hAnsi="Arial" w:cs="Arial"/>
          <w:sz w:val="17"/>
        </w:rPr>
        <w:t xml:space="preserve">ização </w:t>
      </w:r>
      <w:r>
        <w:rPr>
          <w:rFonts w:ascii="Arial" w:eastAsia="Arial" w:hAnsi="Arial" w:cs="Arial"/>
          <w:b/>
          <w:sz w:val="17"/>
        </w:rPr>
        <w:t>II –</w:t>
      </w:r>
      <w:r>
        <w:rPr>
          <w:rFonts w:ascii="Arial" w:eastAsia="Arial" w:hAnsi="Arial" w:cs="Arial"/>
          <w:sz w:val="17"/>
        </w:rPr>
        <w:t xml:space="preserve"> estejam fora de Área de Preservação Permanente e compensação urbanística de edificações (APP), mesmo que parcialmente; </w:t>
      </w:r>
    </w:p>
    <w:p w:rsidR="00803937" w:rsidRDefault="00516FD1">
      <w:pPr>
        <w:tabs>
          <w:tab w:val="center" w:pos="3119"/>
          <w:tab w:val="right" w:pos="9691"/>
        </w:tabs>
        <w:spacing w:after="0"/>
      </w:pPr>
      <w:r>
        <w:tab/>
      </w:r>
      <w:r>
        <w:rPr>
          <w:rFonts w:ascii="Arial" w:eastAsia="Arial" w:hAnsi="Arial" w:cs="Arial"/>
          <w:sz w:val="17"/>
        </w:rPr>
        <w:t xml:space="preserve">em desacordo com a legislação urbanística e </w:t>
      </w:r>
      <w:r>
        <w:rPr>
          <w:rFonts w:ascii="Arial" w:eastAsia="Arial" w:hAnsi="Arial" w:cs="Arial"/>
          <w:sz w:val="17"/>
        </w:rPr>
        <w:tab/>
      </w:r>
      <w:r>
        <w:rPr>
          <w:rFonts w:ascii="Arial" w:eastAsia="Arial" w:hAnsi="Arial" w:cs="Arial"/>
          <w:b/>
          <w:sz w:val="17"/>
        </w:rPr>
        <w:t>III –</w:t>
      </w:r>
      <w:r>
        <w:rPr>
          <w:rFonts w:ascii="Arial" w:eastAsia="Arial" w:hAnsi="Arial" w:cs="Arial"/>
          <w:sz w:val="17"/>
        </w:rPr>
        <w:t xml:space="preserve"> não interfiram no cone de aproximação de aeronaves </w:t>
      </w:r>
    </w:p>
    <w:p w:rsidR="00803937" w:rsidRDefault="00516FD1">
      <w:pPr>
        <w:tabs>
          <w:tab w:val="center" w:pos="2422"/>
          <w:tab w:val="center" w:pos="6292"/>
        </w:tabs>
        <w:spacing w:after="4" w:line="249" w:lineRule="auto"/>
      </w:pPr>
      <w:r>
        <w:tab/>
      </w:r>
      <w:r>
        <w:rPr>
          <w:rFonts w:ascii="Arial" w:eastAsia="Arial" w:hAnsi="Arial" w:cs="Arial"/>
          <w:sz w:val="17"/>
        </w:rPr>
        <w:t xml:space="preserve">dá outras providências.  </w:t>
      </w:r>
      <w:r>
        <w:rPr>
          <w:rFonts w:ascii="Arial" w:eastAsia="Arial" w:hAnsi="Arial" w:cs="Arial"/>
          <w:sz w:val="17"/>
        </w:rPr>
        <w:tab/>
        <w:t xml:space="preserve">e demais regras de segurança de voo; </w:t>
      </w:r>
    </w:p>
    <w:p w:rsidR="00803937" w:rsidRDefault="00516FD1">
      <w:pPr>
        <w:tabs>
          <w:tab w:val="center" w:pos="7035"/>
        </w:tabs>
        <w:spacing w:after="49" w:line="249" w:lineRule="auto"/>
        <w:ind w:left="-15"/>
      </w:pPr>
      <w:r>
        <w:rPr>
          <w:rFonts w:ascii="Arial" w:eastAsia="Arial" w:hAnsi="Arial" w:cs="Arial"/>
          <w:sz w:val="19"/>
        </w:rPr>
        <w:t xml:space="preserve"> </w:t>
      </w:r>
      <w:r>
        <w:rPr>
          <w:rFonts w:ascii="Arial" w:eastAsia="Arial" w:hAnsi="Arial" w:cs="Arial"/>
          <w:sz w:val="19"/>
        </w:rPr>
        <w:tab/>
      </w:r>
      <w:r>
        <w:rPr>
          <w:rFonts w:ascii="Arial" w:eastAsia="Arial" w:hAnsi="Arial" w:cs="Arial"/>
          <w:b/>
          <w:sz w:val="17"/>
        </w:rPr>
        <w:t>IV –</w:t>
      </w:r>
      <w:r>
        <w:rPr>
          <w:rFonts w:ascii="Arial" w:eastAsia="Arial" w:hAnsi="Arial" w:cs="Arial"/>
          <w:sz w:val="17"/>
        </w:rPr>
        <w:t xml:space="preserve"> não estejam em área de risco; </w:t>
      </w:r>
    </w:p>
    <w:p w:rsidR="00803937" w:rsidRDefault="00516FD1">
      <w:pPr>
        <w:tabs>
          <w:tab w:val="center" w:pos="2693"/>
          <w:tab w:val="right" w:pos="9691"/>
        </w:tabs>
        <w:spacing w:after="44" w:line="249" w:lineRule="auto"/>
      </w:pPr>
      <w:r>
        <w:tab/>
      </w:r>
      <w:r>
        <w:rPr>
          <w:rFonts w:ascii="Arial" w:eastAsia="Arial" w:hAnsi="Arial" w:cs="Arial"/>
          <w:sz w:val="17"/>
        </w:rPr>
        <w:t>O</w:t>
      </w:r>
      <w:r>
        <w:rPr>
          <w:rFonts w:ascii="Arial" w:eastAsia="Arial" w:hAnsi="Arial" w:cs="Arial"/>
          <w:b/>
          <w:sz w:val="17"/>
        </w:rPr>
        <w:t xml:space="preserve"> PREFEITO DE MANAUS</w:t>
      </w:r>
      <w:r>
        <w:rPr>
          <w:rFonts w:ascii="Arial" w:eastAsia="Arial" w:hAnsi="Arial" w:cs="Arial"/>
          <w:sz w:val="17"/>
        </w:rPr>
        <w:t xml:space="preserve">, no uso das atribuições que </w:t>
      </w:r>
      <w:r>
        <w:rPr>
          <w:rFonts w:ascii="Arial" w:eastAsia="Arial" w:hAnsi="Arial" w:cs="Arial"/>
          <w:sz w:val="17"/>
        </w:rPr>
        <w:tab/>
      </w:r>
      <w:r>
        <w:rPr>
          <w:rFonts w:ascii="Arial" w:eastAsia="Arial" w:hAnsi="Arial" w:cs="Arial"/>
          <w:b/>
          <w:sz w:val="17"/>
        </w:rPr>
        <w:t>V –</w:t>
      </w:r>
      <w:r>
        <w:rPr>
          <w:rFonts w:ascii="Arial" w:eastAsia="Arial" w:hAnsi="Arial" w:cs="Arial"/>
          <w:sz w:val="17"/>
        </w:rPr>
        <w:t xml:space="preserve"> não proporcionem risco não passível de mitigação </w:t>
      </w:r>
    </w:p>
    <w:p w:rsidR="00803937" w:rsidRDefault="00516FD1">
      <w:pPr>
        <w:tabs>
          <w:tab w:val="center" w:pos="6851"/>
        </w:tabs>
        <w:spacing w:after="4" w:line="249" w:lineRule="auto"/>
        <w:ind w:left="-15"/>
      </w:pPr>
      <w:r>
        <w:rPr>
          <w:rFonts w:ascii="Arial" w:eastAsia="Arial" w:hAnsi="Arial" w:cs="Arial"/>
          <w:sz w:val="17"/>
        </w:rPr>
        <w:t xml:space="preserve">lhe são conferidas pelo art. 80, inc. IV, da Lei Orgânica do Município de </w:t>
      </w:r>
      <w:r>
        <w:rPr>
          <w:rFonts w:ascii="Arial" w:eastAsia="Arial" w:hAnsi="Arial" w:cs="Arial"/>
          <w:sz w:val="17"/>
        </w:rPr>
        <w:tab/>
        <w:t xml:space="preserve">quanto à estabilidade, segurança, higiene e salubridade; </w:t>
      </w:r>
    </w:p>
    <w:p w:rsidR="00803937" w:rsidRDefault="00516FD1">
      <w:pPr>
        <w:spacing w:after="46" w:line="302" w:lineRule="auto"/>
        <w:ind w:left="836" w:hanging="851"/>
        <w:jc w:val="both"/>
      </w:pPr>
      <w:r>
        <w:rPr>
          <w:rFonts w:ascii="Arial" w:eastAsia="Arial" w:hAnsi="Arial" w:cs="Arial"/>
          <w:sz w:val="17"/>
        </w:rPr>
        <w:t xml:space="preserve">Manaus, </w:t>
      </w:r>
      <w:r>
        <w:rPr>
          <w:rFonts w:ascii="Arial" w:eastAsia="Arial" w:hAnsi="Arial" w:cs="Arial"/>
          <w:sz w:val="17"/>
        </w:rPr>
        <w:tab/>
      </w:r>
      <w:r>
        <w:rPr>
          <w:rFonts w:ascii="Arial" w:eastAsia="Arial" w:hAnsi="Arial" w:cs="Arial"/>
          <w:b/>
          <w:sz w:val="17"/>
        </w:rPr>
        <w:t>VI –</w:t>
      </w:r>
      <w:r>
        <w:rPr>
          <w:rFonts w:ascii="Arial" w:eastAsia="Arial" w:hAnsi="Arial" w:cs="Arial"/>
          <w:sz w:val="17"/>
        </w:rPr>
        <w:t xml:space="preserve"> não seja imóvel tombado pelo patrimônio histórico </w:t>
      </w:r>
      <w:r>
        <w:rPr>
          <w:rFonts w:ascii="Arial" w:eastAsia="Arial" w:hAnsi="Arial" w:cs="Arial"/>
          <w:b/>
          <w:sz w:val="17"/>
        </w:rPr>
        <w:t xml:space="preserve"> </w:t>
      </w:r>
      <w:r>
        <w:rPr>
          <w:rFonts w:ascii="Arial" w:eastAsia="Arial" w:hAnsi="Arial" w:cs="Arial"/>
          <w:b/>
          <w:sz w:val="17"/>
        </w:rPr>
        <w:tab/>
      </w:r>
      <w:r>
        <w:rPr>
          <w:rFonts w:ascii="Arial" w:eastAsia="Arial" w:hAnsi="Arial" w:cs="Arial"/>
          <w:sz w:val="17"/>
        </w:rPr>
        <w:t xml:space="preserve">edificado ou que esteja em processo de tombamento. </w:t>
      </w:r>
    </w:p>
    <w:p w:rsidR="00803937" w:rsidRDefault="00516FD1">
      <w:pPr>
        <w:tabs>
          <w:tab w:val="center" w:pos="2693"/>
          <w:tab w:val="center" w:pos="5954"/>
        </w:tabs>
        <w:spacing w:after="4" w:line="249" w:lineRule="auto"/>
      </w:pPr>
      <w:r>
        <w:tab/>
      </w:r>
      <w:r>
        <w:rPr>
          <w:rFonts w:ascii="Arial" w:eastAsia="Arial" w:hAnsi="Arial" w:cs="Arial"/>
          <w:b/>
          <w:sz w:val="17"/>
        </w:rPr>
        <w:t>FAÇO</w:t>
      </w:r>
      <w:r>
        <w:rPr>
          <w:rFonts w:ascii="Arial" w:eastAsia="Arial" w:hAnsi="Arial" w:cs="Arial"/>
          <w:b/>
          <w:sz w:val="17"/>
        </w:rPr>
        <w:t xml:space="preserve"> SABER</w:t>
      </w:r>
      <w:r>
        <w:rPr>
          <w:rFonts w:ascii="Arial" w:eastAsia="Arial" w:hAnsi="Arial" w:cs="Arial"/>
          <w:sz w:val="17"/>
        </w:rPr>
        <w:t xml:space="preserve"> que o Poder Legislativo decretou e eu </w:t>
      </w:r>
      <w:r>
        <w:rPr>
          <w:rFonts w:ascii="Arial" w:eastAsia="Arial" w:hAnsi="Arial" w:cs="Arial"/>
          <w:sz w:val="17"/>
        </w:rPr>
        <w:tab/>
        <w:t xml:space="preserve"> </w:t>
      </w:r>
    </w:p>
    <w:p w:rsidR="00803937" w:rsidRDefault="00516FD1">
      <w:pPr>
        <w:spacing w:after="4" w:line="299" w:lineRule="auto"/>
        <w:ind w:left="-5" w:hanging="10"/>
        <w:jc w:val="both"/>
      </w:pPr>
      <w:r>
        <w:rPr>
          <w:rFonts w:ascii="Arial" w:eastAsia="Arial" w:hAnsi="Arial" w:cs="Arial"/>
          <w:sz w:val="17"/>
        </w:rPr>
        <w:t xml:space="preserve">sanciono a seguinte </w:t>
      </w:r>
      <w:r>
        <w:rPr>
          <w:rFonts w:ascii="Arial" w:eastAsia="Arial" w:hAnsi="Arial" w:cs="Arial"/>
          <w:b/>
          <w:sz w:val="17"/>
        </w:rPr>
        <w:t>Art. 5.º</w:t>
      </w:r>
      <w:r>
        <w:rPr>
          <w:rFonts w:ascii="Arial" w:eastAsia="Arial" w:hAnsi="Arial" w:cs="Arial"/>
          <w:sz w:val="17"/>
        </w:rPr>
        <w:t xml:space="preserve"> A compensação urbanística somente poderá ser </w:t>
      </w:r>
      <w:r>
        <w:rPr>
          <w:rFonts w:ascii="Arial" w:eastAsia="Arial" w:hAnsi="Arial" w:cs="Arial"/>
          <w:b/>
          <w:sz w:val="17"/>
        </w:rPr>
        <w:t xml:space="preserve"> </w:t>
      </w:r>
      <w:r>
        <w:rPr>
          <w:rFonts w:ascii="Arial" w:eastAsia="Arial" w:hAnsi="Arial" w:cs="Arial"/>
          <w:b/>
          <w:sz w:val="17"/>
        </w:rPr>
        <w:tab/>
      </w:r>
      <w:r>
        <w:rPr>
          <w:rFonts w:ascii="Arial" w:eastAsia="Arial" w:hAnsi="Arial" w:cs="Arial"/>
          <w:sz w:val="17"/>
        </w:rPr>
        <w:t xml:space="preserve">efetivada em processos administrativos em trâmite no Implurb, nos quais </w:t>
      </w:r>
    </w:p>
    <w:p w:rsidR="00803937" w:rsidRDefault="00516FD1">
      <w:pPr>
        <w:tabs>
          <w:tab w:val="center" w:pos="2268"/>
          <w:tab w:val="center" w:pos="7005"/>
        </w:tabs>
        <w:spacing w:after="36" w:line="249" w:lineRule="auto"/>
      </w:pPr>
      <w:r>
        <w:tab/>
      </w:r>
      <w:r>
        <w:rPr>
          <w:rFonts w:ascii="Arial" w:eastAsia="Arial" w:hAnsi="Arial" w:cs="Arial"/>
          <w:b/>
          <w:sz w:val="17"/>
        </w:rPr>
        <w:t xml:space="preserve">LEI: </w:t>
      </w:r>
      <w:r>
        <w:rPr>
          <w:rFonts w:ascii="Arial" w:eastAsia="Arial" w:hAnsi="Arial" w:cs="Arial"/>
          <w:b/>
          <w:sz w:val="17"/>
        </w:rPr>
        <w:tab/>
      </w:r>
      <w:r>
        <w:rPr>
          <w:rFonts w:ascii="Arial" w:eastAsia="Arial" w:hAnsi="Arial" w:cs="Arial"/>
          <w:sz w:val="17"/>
        </w:rPr>
        <w:t>estejam presentes, cumulativamente, os seguintes req</w:t>
      </w:r>
      <w:r>
        <w:rPr>
          <w:rFonts w:ascii="Arial" w:eastAsia="Arial" w:hAnsi="Arial" w:cs="Arial"/>
          <w:sz w:val="17"/>
        </w:rPr>
        <w:t xml:space="preserve">uisitos: </w:t>
      </w:r>
      <w:r>
        <w:rPr>
          <w:rFonts w:ascii="Arial" w:eastAsia="Arial" w:hAnsi="Arial" w:cs="Arial"/>
          <w:sz w:val="2"/>
        </w:rPr>
        <w:t xml:space="preserve"> </w:t>
      </w:r>
    </w:p>
    <w:p w:rsidR="00803937" w:rsidRDefault="00516FD1">
      <w:pPr>
        <w:tabs>
          <w:tab w:val="right" w:pos="9691"/>
        </w:tabs>
        <w:spacing w:after="36" w:line="249" w:lineRule="auto"/>
        <w:ind w:left="-15"/>
      </w:pPr>
      <w:r>
        <w:rPr>
          <w:rFonts w:ascii="Arial" w:eastAsia="Arial" w:hAnsi="Arial" w:cs="Arial"/>
          <w:b/>
          <w:sz w:val="17"/>
        </w:rPr>
        <w:t xml:space="preserve"> </w:t>
      </w:r>
      <w:r>
        <w:rPr>
          <w:rFonts w:ascii="Arial" w:eastAsia="Arial" w:hAnsi="Arial" w:cs="Arial"/>
          <w:b/>
          <w:sz w:val="17"/>
        </w:rPr>
        <w:tab/>
        <w:t>I –</w:t>
      </w:r>
      <w:r>
        <w:rPr>
          <w:rFonts w:ascii="Arial" w:eastAsia="Arial" w:hAnsi="Arial" w:cs="Arial"/>
          <w:sz w:val="17"/>
        </w:rPr>
        <w:t xml:space="preserve"> tenha havido o indeferimento da regularização da </w:t>
      </w:r>
    </w:p>
    <w:p w:rsidR="00803937" w:rsidRDefault="00516FD1">
      <w:pPr>
        <w:tabs>
          <w:tab w:val="center" w:pos="2695"/>
          <w:tab w:val="center" w:pos="7295"/>
        </w:tabs>
        <w:spacing w:after="4" w:line="249" w:lineRule="auto"/>
      </w:pPr>
      <w:r>
        <w:tab/>
      </w:r>
      <w:r>
        <w:rPr>
          <w:rFonts w:ascii="Arial" w:eastAsia="Arial" w:hAnsi="Arial" w:cs="Arial"/>
          <w:b/>
          <w:sz w:val="17"/>
        </w:rPr>
        <w:t xml:space="preserve">Art. 1.º </w:t>
      </w:r>
      <w:r>
        <w:rPr>
          <w:rFonts w:ascii="Arial" w:eastAsia="Arial" w:hAnsi="Arial" w:cs="Arial"/>
          <w:sz w:val="17"/>
        </w:rPr>
        <w:t xml:space="preserve">Esta Lei Complementar estabelece critérios para </w:t>
      </w:r>
      <w:r>
        <w:rPr>
          <w:rFonts w:ascii="Arial" w:eastAsia="Arial" w:hAnsi="Arial" w:cs="Arial"/>
          <w:sz w:val="17"/>
        </w:rPr>
        <w:tab/>
        <w:t xml:space="preserve">edificação em razão de desconformidade com a legislação urbanística; </w:t>
      </w:r>
    </w:p>
    <w:p w:rsidR="00803937" w:rsidRDefault="00516FD1">
      <w:pPr>
        <w:spacing w:after="26" w:line="249" w:lineRule="auto"/>
        <w:ind w:left="-5" w:hanging="10"/>
        <w:jc w:val="both"/>
      </w:pPr>
      <w:r>
        <w:rPr>
          <w:rFonts w:ascii="Arial" w:eastAsia="Arial" w:hAnsi="Arial" w:cs="Arial"/>
          <w:sz w:val="17"/>
        </w:rPr>
        <w:t>regularização e habite-se de edificações que estejam em desc</w:t>
      </w:r>
      <w:r>
        <w:rPr>
          <w:rFonts w:ascii="Arial" w:eastAsia="Arial" w:hAnsi="Arial" w:cs="Arial"/>
          <w:sz w:val="17"/>
        </w:rPr>
        <w:t xml:space="preserve">onformidade </w:t>
      </w:r>
      <w:r>
        <w:rPr>
          <w:rFonts w:ascii="Arial" w:eastAsia="Arial" w:hAnsi="Arial" w:cs="Arial"/>
          <w:b/>
          <w:sz w:val="17"/>
        </w:rPr>
        <w:t>II –</w:t>
      </w:r>
      <w:r>
        <w:rPr>
          <w:rFonts w:ascii="Arial" w:eastAsia="Arial" w:hAnsi="Arial" w:cs="Arial"/>
          <w:sz w:val="17"/>
        </w:rPr>
        <w:t xml:space="preserve"> haja posterior deferimento da compensação pelo com a legislação urbanística, em especial o Código de Obras e Conselho Municipal de Desenvolvimento Urbano (CMDU). </w:t>
      </w:r>
    </w:p>
    <w:p w:rsidR="00803937" w:rsidRDefault="00516FD1">
      <w:pPr>
        <w:tabs>
          <w:tab w:val="center" w:pos="5953"/>
        </w:tabs>
        <w:spacing w:after="4" w:line="249" w:lineRule="auto"/>
        <w:ind w:left="-15"/>
      </w:pPr>
      <w:r>
        <w:rPr>
          <w:rFonts w:ascii="Arial" w:eastAsia="Arial" w:hAnsi="Arial" w:cs="Arial"/>
          <w:sz w:val="17"/>
        </w:rPr>
        <w:t xml:space="preserve">Edificações, e Normas de Uso e Ocupação do Solo no município de </w:t>
      </w:r>
      <w:r>
        <w:rPr>
          <w:rFonts w:ascii="Arial" w:eastAsia="Arial" w:hAnsi="Arial" w:cs="Arial"/>
          <w:sz w:val="17"/>
        </w:rPr>
        <w:tab/>
        <w:t xml:space="preserve"> </w:t>
      </w:r>
    </w:p>
    <w:p w:rsidR="00803937" w:rsidRDefault="00516FD1">
      <w:pPr>
        <w:spacing w:after="32" w:line="249" w:lineRule="auto"/>
        <w:ind w:left="-5" w:hanging="10"/>
        <w:jc w:val="both"/>
      </w:pPr>
      <w:r>
        <w:rPr>
          <w:rFonts w:ascii="Arial" w:eastAsia="Arial" w:hAnsi="Arial" w:cs="Arial"/>
          <w:sz w:val="17"/>
        </w:rPr>
        <w:t xml:space="preserve">Manaus, utilizando a compensação urbanística como instrumento </w:t>
      </w:r>
      <w:r>
        <w:rPr>
          <w:rFonts w:ascii="Arial" w:eastAsia="Arial" w:hAnsi="Arial" w:cs="Arial"/>
          <w:b/>
          <w:sz w:val="17"/>
        </w:rPr>
        <w:t>Parágrafo único.</w:t>
      </w:r>
      <w:r>
        <w:rPr>
          <w:rFonts w:ascii="Arial" w:eastAsia="Arial" w:hAnsi="Arial" w:cs="Arial"/>
          <w:sz w:val="17"/>
        </w:rPr>
        <w:t xml:space="preserve"> Não poderão ser regularizadas, pecuniário de indenização ao Município pelos danos causados, em mediante compen</w:t>
      </w:r>
      <w:r>
        <w:rPr>
          <w:rFonts w:ascii="Arial" w:eastAsia="Arial" w:hAnsi="Arial" w:cs="Arial"/>
          <w:sz w:val="17"/>
        </w:rPr>
        <w:t xml:space="preserve">sação urbanística, as edificações que: </w:t>
      </w:r>
      <w:r>
        <w:rPr>
          <w:rFonts w:ascii="Arial" w:eastAsia="Arial" w:hAnsi="Arial" w:cs="Arial"/>
          <w:sz w:val="2"/>
        </w:rPr>
        <w:t xml:space="preserve"> </w:t>
      </w:r>
    </w:p>
    <w:p w:rsidR="00803937" w:rsidRDefault="00516FD1">
      <w:pPr>
        <w:spacing w:after="4" w:line="249" w:lineRule="auto"/>
        <w:ind w:left="836" w:hanging="851"/>
        <w:jc w:val="both"/>
      </w:pPr>
      <w:r>
        <w:rPr>
          <w:rFonts w:ascii="Arial" w:eastAsia="Arial" w:hAnsi="Arial" w:cs="Arial"/>
          <w:sz w:val="17"/>
        </w:rPr>
        <w:t xml:space="preserve">respeito ao interesse coletivo e em detrimento do interesse particular. </w:t>
      </w:r>
      <w:r>
        <w:rPr>
          <w:rFonts w:ascii="Arial" w:eastAsia="Arial" w:hAnsi="Arial" w:cs="Arial"/>
          <w:b/>
          <w:sz w:val="17"/>
        </w:rPr>
        <w:t>I –</w:t>
      </w:r>
      <w:r>
        <w:rPr>
          <w:rFonts w:ascii="Arial" w:eastAsia="Arial" w:hAnsi="Arial" w:cs="Arial"/>
          <w:sz w:val="17"/>
        </w:rPr>
        <w:t xml:space="preserve"> estejam em fase de aprovação de projeto ou de  </w:t>
      </w:r>
      <w:r>
        <w:rPr>
          <w:rFonts w:ascii="Arial" w:eastAsia="Arial" w:hAnsi="Arial" w:cs="Arial"/>
          <w:sz w:val="17"/>
        </w:rPr>
        <w:tab/>
        <w:t xml:space="preserve">aprovação e licença de obras; </w:t>
      </w:r>
    </w:p>
    <w:p w:rsidR="00803937" w:rsidRDefault="00516FD1">
      <w:pPr>
        <w:spacing w:after="4" w:line="249" w:lineRule="auto"/>
        <w:ind w:left="-15" w:right="181" w:firstLine="851"/>
        <w:jc w:val="both"/>
      </w:pPr>
      <w:r>
        <w:rPr>
          <w:rFonts w:ascii="Arial" w:eastAsia="Arial" w:hAnsi="Arial" w:cs="Arial"/>
          <w:b/>
          <w:sz w:val="17"/>
        </w:rPr>
        <w:t>Art. 2.º</w:t>
      </w:r>
      <w:r>
        <w:rPr>
          <w:rFonts w:ascii="Arial" w:eastAsia="Arial" w:hAnsi="Arial" w:cs="Arial"/>
          <w:sz w:val="17"/>
        </w:rPr>
        <w:t xml:space="preserve"> As edificações a serem regularizadas por meio desta</w:t>
      </w:r>
      <w:r>
        <w:rPr>
          <w:rFonts w:ascii="Arial" w:eastAsia="Arial" w:hAnsi="Arial" w:cs="Arial"/>
          <w:sz w:val="17"/>
        </w:rPr>
        <w:t xml:space="preserve"> </w:t>
      </w:r>
      <w:r>
        <w:rPr>
          <w:rFonts w:ascii="Arial" w:eastAsia="Arial" w:hAnsi="Arial" w:cs="Arial"/>
          <w:b/>
          <w:sz w:val="17"/>
        </w:rPr>
        <w:t>II –</w:t>
      </w:r>
      <w:r>
        <w:rPr>
          <w:rFonts w:ascii="Arial" w:eastAsia="Arial" w:hAnsi="Arial" w:cs="Arial"/>
          <w:sz w:val="17"/>
        </w:rPr>
        <w:t xml:space="preserve"> não tenham sido iniciadas ou estejam em construção; Lei deverão abrigar os usos e as atividades adequadas ao zoneamento </w:t>
      </w:r>
      <w:r>
        <w:rPr>
          <w:rFonts w:ascii="Arial" w:eastAsia="Arial" w:hAnsi="Arial" w:cs="Arial"/>
          <w:b/>
          <w:sz w:val="17"/>
        </w:rPr>
        <w:t>III –</w:t>
      </w:r>
      <w:r>
        <w:rPr>
          <w:rFonts w:ascii="Arial" w:eastAsia="Arial" w:hAnsi="Arial" w:cs="Arial"/>
          <w:sz w:val="17"/>
        </w:rPr>
        <w:t xml:space="preserve"> não atendam ao que estabelece o art. 3.º desta Lei. vigente, mantendo a qualidade do espaço urbano construído e a  </w:t>
      </w:r>
    </w:p>
    <w:p w:rsidR="00803937" w:rsidRDefault="00516FD1">
      <w:pPr>
        <w:spacing w:after="4" w:line="249" w:lineRule="auto"/>
        <w:ind w:left="836" w:hanging="851"/>
        <w:jc w:val="both"/>
      </w:pPr>
      <w:r>
        <w:rPr>
          <w:rFonts w:ascii="Arial" w:eastAsia="Arial" w:hAnsi="Arial" w:cs="Arial"/>
          <w:sz w:val="17"/>
        </w:rPr>
        <w:t>adequaçã</w:t>
      </w:r>
      <w:r>
        <w:rPr>
          <w:rFonts w:ascii="Arial" w:eastAsia="Arial" w:hAnsi="Arial" w:cs="Arial"/>
          <w:sz w:val="17"/>
        </w:rPr>
        <w:t xml:space="preserve">o da capacidade instalada de infraestrutura urbana local. </w:t>
      </w:r>
      <w:r>
        <w:rPr>
          <w:rFonts w:ascii="Arial" w:eastAsia="Arial" w:hAnsi="Arial" w:cs="Arial"/>
          <w:b/>
          <w:sz w:val="17"/>
        </w:rPr>
        <w:t>Art. 6.º</w:t>
      </w:r>
      <w:r>
        <w:rPr>
          <w:rFonts w:ascii="Arial" w:eastAsia="Arial" w:hAnsi="Arial" w:cs="Arial"/>
          <w:sz w:val="17"/>
        </w:rPr>
        <w:t xml:space="preserve"> A solicitação de flexibilização dos parâmetros  urbanísticos em desacordo com a legislação urbanística deverá ser feita </w:t>
      </w:r>
    </w:p>
    <w:p w:rsidR="00803937" w:rsidRDefault="00516FD1">
      <w:pPr>
        <w:tabs>
          <w:tab w:val="center" w:pos="2694"/>
          <w:tab w:val="right" w:pos="9691"/>
        </w:tabs>
        <w:spacing w:after="4" w:line="249" w:lineRule="auto"/>
      </w:pPr>
      <w:r>
        <w:tab/>
      </w:r>
      <w:r>
        <w:rPr>
          <w:rFonts w:ascii="Arial" w:eastAsia="Arial" w:hAnsi="Arial" w:cs="Arial"/>
          <w:b/>
          <w:sz w:val="17"/>
        </w:rPr>
        <w:t>Art. 3.º</w:t>
      </w:r>
      <w:r>
        <w:rPr>
          <w:rFonts w:ascii="Arial" w:eastAsia="Arial" w:hAnsi="Arial" w:cs="Arial"/>
          <w:sz w:val="17"/>
        </w:rPr>
        <w:t xml:space="preserve"> A compensação urbanística é aplicável em todas </w:t>
      </w:r>
      <w:r>
        <w:rPr>
          <w:rFonts w:ascii="Arial" w:eastAsia="Arial" w:hAnsi="Arial" w:cs="Arial"/>
          <w:sz w:val="17"/>
        </w:rPr>
        <w:tab/>
        <w:t>junto ao C</w:t>
      </w:r>
      <w:r>
        <w:rPr>
          <w:rFonts w:ascii="Arial" w:eastAsia="Arial" w:hAnsi="Arial" w:cs="Arial"/>
          <w:sz w:val="17"/>
        </w:rPr>
        <w:t xml:space="preserve">MDU, que poderá indeferir, deferir integralmente ou </w:t>
      </w:r>
    </w:p>
    <w:p w:rsidR="00803937" w:rsidRDefault="00516FD1">
      <w:pPr>
        <w:spacing w:after="4" w:line="249" w:lineRule="auto"/>
        <w:ind w:left="-5" w:hanging="10"/>
        <w:jc w:val="both"/>
      </w:pPr>
      <w:r>
        <w:rPr>
          <w:noProof/>
        </w:rPr>
        <mc:AlternateContent>
          <mc:Choice Requires="wpg">
            <w:drawing>
              <wp:anchor distT="0" distB="0" distL="114300" distR="114300" simplePos="0" relativeHeight="251658240" behindDoc="1" locked="0" layoutInCell="1" allowOverlap="1">
                <wp:simplePos x="0" y="0"/>
                <wp:positionH relativeFrom="column">
                  <wp:posOffset>5</wp:posOffset>
                </wp:positionH>
                <wp:positionV relativeFrom="paragraph">
                  <wp:posOffset>-6268139</wp:posOffset>
                </wp:positionV>
                <wp:extent cx="6123432" cy="10114026"/>
                <wp:effectExtent l="0" t="0" r="0" b="0"/>
                <wp:wrapNone/>
                <wp:docPr id="11439" name="Group 11439"/>
                <wp:cNvGraphicFramePr/>
                <a:graphic xmlns:a="http://schemas.openxmlformats.org/drawingml/2006/main">
                  <a:graphicData uri="http://schemas.microsoft.com/office/word/2010/wordprocessingGroup">
                    <wpg:wgp>
                      <wpg:cNvGrpSpPr/>
                      <wpg:grpSpPr>
                        <a:xfrm>
                          <a:off x="0" y="0"/>
                          <a:ext cx="6123432" cy="10114026"/>
                          <a:chOff x="0" y="0"/>
                          <a:chExt cx="6123432" cy="10114026"/>
                        </a:xfrm>
                      </wpg:grpSpPr>
                      <pic:pic xmlns:pic="http://schemas.openxmlformats.org/drawingml/2006/picture">
                        <pic:nvPicPr>
                          <pic:cNvPr id="973" name="Picture 973"/>
                          <pic:cNvPicPr/>
                        </pic:nvPicPr>
                        <pic:blipFill>
                          <a:blip r:embed="rId13"/>
                          <a:stretch>
                            <a:fillRect/>
                          </a:stretch>
                        </pic:blipFill>
                        <pic:spPr>
                          <a:xfrm>
                            <a:off x="0" y="0"/>
                            <a:ext cx="6123432" cy="1889760"/>
                          </a:xfrm>
                          <a:prstGeom prst="rect">
                            <a:avLst/>
                          </a:prstGeom>
                        </pic:spPr>
                      </pic:pic>
                      <pic:pic xmlns:pic="http://schemas.openxmlformats.org/drawingml/2006/picture">
                        <pic:nvPicPr>
                          <pic:cNvPr id="989" name="Picture 989"/>
                          <pic:cNvPicPr/>
                        </pic:nvPicPr>
                        <pic:blipFill>
                          <a:blip r:embed="rId14"/>
                          <a:stretch>
                            <a:fillRect/>
                          </a:stretch>
                        </pic:blipFill>
                        <pic:spPr>
                          <a:xfrm>
                            <a:off x="0" y="9803130"/>
                            <a:ext cx="6123432" cy="310896"/>
                          </a:xfrm>
                          <a:prstGeom prst="rect">
                            <a:avLst/>
                          </a:prstGeom>
                        </pic:spPr>
                      </pic:pic>
                      <wps:wsp>
                        <wps:cNvPr id="14328" name="Shape 14328"/>
                        <wps:cNvSpPr/>
                        <wps:spPr>
                          <a:xfrm>
                            <a:off x="3055620" y="2500884"/>
                            <a:ext cx="9144" cy="7213854"/>
                          </a:xfrm>
                          <a:custGeom>
                            <a:avLst/>
                            <a:gdLst/>
                            <a:ahLst/>
                            <a:cxnLst/>
                            <a:rect l="0" t="0" r="0" b="0"/>
                            <a:pathLst>
                              <a:path w="9144" h="7213854">
                                <a:moveTo>
                                  <a:pt x="0" y="0"/>
                                </a:moveTo>
                                <a:lnTo>
                                  <a:pt x="9144" y="0"/>
                                </a:lnTo>
                                <a:lnTo>
                                  <a:pt x="9144" y="7213854"/>
                                </a:lnTo>
                                <a:lnTo>
                                  <a:pt x="0" y="7213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 name="Rectangle 1144"/>
                        <wps:cNvSpPr/>
                        <wps:spPr>
                          <a:xfrm rot="-2699999">
                            <a:off x="302534" y="6528147"/>
                            <a:ext cx="2298023" cy="865995"/>
                          </a:xfrm>
                          <a:prstGeom prst="rect">
                            <a:avLst/>
                          </a:prstGeom>
                          <a:ln>
                            <a:noFill/>
                          </a:ln>
                        </wps:spPr>
                        <wps:txbx>
                          <w:txbxContent>
                            <w:p w:rsidR="00803937" w:rsidRDefault="00516FD1">
                              <w:r>
                                <w:rPr>
                                  <w:rFonts w:ascii="Arial" w:eastAsia="Arial" w:hAnsi="Arial" w:cs="Arial"/>
                                  <w:b/>
                                  <w:sz w:val="100"/>
                                </w:rPr>
                                <w:t xml:space="preserve">SEM </w:t>
                              </w:r>
                            </w:p>
                          </w:txbxContent>
                        </wps:txbx>
                        <wps:bodyPr horzOverflow="overflow" vert="horz" lIns="0" tIns="0" rIns="0" bIns="0" rtlCol="0">
                          <a:noAutofit/>
                        </wps:bodyPr>
                      </wps:wsp>
                      <wps:wsp>
                        <wps:cNvPr id="1145" name="Rectangle 1145"/>
                        <wps:cNvSpPr/>
                        <wps:spPr>
                          <a:xfrm rot="-2699999">
                            <a:off x="1345761" y="4874310"/>
                            <a:ext cx="3519243" cy="865995"/>
                          </a:xfrm>
                          <a:prstGeom prst="rect">
                            <a:avLst/>
                          </a:prstGeom>
                          <a:ln>
                            <a:noFill/>
                          </a:ln>
                        </wps:spPr>
                        <wps:txbx>
                          <w:txbxContent>
                            <w:p w:rsidR="00803937" w:rsidRDefault="00516FD1">
                              <w:r>
                                <w:rPr>
                                  <w:rFonts w:ascii="Arial" w:eastAsia="Arial" w:hAnsi="Arial" w:cs="Arial"/>
                                  <w:b/>
                                  <w:sz w:val="100"/>
                                </w:rPr>
                                <w:t xml:space="preserve">VALOR </w:t>
                              </w:r>
                            </w:p>
                          </w:txbxContent>
                        </wps:txbx>
                        <wps:bodyPr horzOverflow="overflow" vert="horz" lIns="0" tIns="0" rIns="0" bIns="0" rtlCol="0">
                          <a:noAutofit/>
                        </wps:bodyPr>
                      </wps:wsp>
                      <wps:wsp>
                        <wps:cNvPr id="1146" name="Rectangle 1146"/>
                        <wps:cNvSpPr/>
                        <wps:spPr>
                          <a:xfrm rot="-2699999">
                            <a:off x="3175490" y="2903541"/>
                            <a:ext cx="3801323" cy="865995"/>
                          </a:xfrm>
                          <a:prstGeom prst="rect">
                            <a:avLst/>
                          </a:prstGeom>
                          <a:ln>
                            <a:noFill/>
                          </a:ln>
                        </wps:spPr>
                        <wps:txbx>
                          <w:txbxContent>
                            <w:p w:rsidR="00803937" w:rsidRDefault="00516FD1">
                              <w:r>
                                <w:rPr>
                                  <w:rFonts w:ascii="Arial" w:eastAsia="Arial" w:hAnsi="Arial" w:cs="Arial"/>
                                  <w:b/>
                                  <w:sz w:val="100"/>
                                </w:rPr>
                                <w:t>OFICIAL</w:t>
                              </w:r>
                            </w:p>
                          </w:txbxContent>
                        </wps:txbx>
                        <wps:bodyPr horzOverflow="overflow" vert="horz" lIns="0" tIns="0" rIns="0" bIns="0" rtlCol="0">
                          <a:noAutofit/>
                        </wps:bodyPr>
                      </wps:wsp>
                    </wpg:wgp>
                  </a:graphicData>
                </a:graphic>
              </wp:anchor>
            </w:drawing>
          </mc:Choice>
          <mc:Fallback xmlns:a="http://schemas.openxmlformats.org/drawingml/2006/main">
            <w:pict>
              <v:group id="Group 11439" style="width:482.16pt;height:796.38pt;position:absolute;z-index:-2147483479;mso-position-horizontal-relative:text;mso-position-horizontal:absolute;margin-left:0.000377655pt;mso-position-vertical-relative:text;margin-top:-493.554pt;" coordsize="61234,101140">
                <v:shape id="Picture 973" style="position:absolute;width:61234;height:18897;left:0;top:0;" filled="f">
                  <v:imagedata r:id="rId15"/>
                </v:shape>
                <v:shape id="Picture 989" style="position:absolute;width:61234;height:3108;left:0;top:98031;" filled="f">
                  <v:imagedata r:id="rId16"/>
                </v:shape>
                <v:shape id="Shape 14329" style="position:absolute;width:91;height:72138;left:30556;top:25008;" coordsize="9144,7213854" path="m0,0l9144,0l9144,7213854l0,7213854l0,0">
                  <v:stroke weight="0pt" endcap="flat" joinstyle="miter" miterlimit="10" on="false" color="#000000" opacity="0"/>
                  <v:fill on="true" color="#000000"/>
                </v:shape>
                <v:rect id="Rectangle 1144" style="position:absolute;width:22980;height:8659;left:3025;top:65281;" filled="f" stroked="f">
                  <v:textbox inset="0,0,0,0">
                    <w:txbxContent>
                      <w:p>
                        <w:pPr>
                          <w:spacing w:before="0" w:after="160" w:line="259" w:lineRule="auto"/>
                        </w:pPr>
                        <w:r>
                          <w:rPr>
                            <w:rFonts w:cs="Arial" w:hAnsi="Arial" w:eastAsia="Arial" w:ascii="Arial"/>
                            <w:b w:val="1"/>
                            <w:color w:val="000000"/>
                            <w:sz w:val="100"/>
                          </w:rPr>
                          <w:t xml:space="preserve">SEM </w:t>
                        </w:r>
                      </w:p>
                    </w:txbxContent>
                  </v:textbox>
                </v:rect>
                <v:rect id="Rectangle 1145" style="position:absolute;width:35192;height:8659;left:13457;top:48743;" filled="f" stroked="f">
                  <v:textbox inset="0,0,0,0">
                    <w:txbxContent>
                      <w:p>
                        <w:pPr>
                          <w:spacing w:before="0" w:after="160" w:line="259" w:lineRule="auto"/>
                        </w:pPr>
                        <w:r>
                          <w:rPr>
                            <w:rFonts w:cs="Arial" w:hAnsi="Arial" w:eastAsia="Arial" w:ascii="Arial"/>
                            <w:b w:val="1"/>
                            <w:color w:val="000000"/>
                            <w:sz w:val="100"/>
                          </w:rPr>
                          <w:t xml:space="preserve">VALOR </w:t>
                        </w:r>
                      </w:p>
                    </w:txbxContent>
                  </v:textbox>
                </v:rect>
                <v:rect id="Rectangle 1146" style="position:absolute;width:38013;height:8659;left:31754;top:29035;" filled="f" stroked="f">
                  <v:textbox inset="0,0,0,0">
                    <w:txbxContent>
                      <w:p>
                        <w:pPr>
                          <w:spacing w:before="0" w:after="160" w:line="259" w:lineRule="auto"/>
                        </w:pPr>
                        <w:r>
                          <w:rPr>
                            <w:rFonts w:cs="Arial" w:hAnsi="Arial" w:eastAsia="Arial" w:ascii="Arial"/>
                            <w:b w:val="1"/>
                            <w:color w:val="000000"/>
                            <w:sz w:val="100"/>
                          </w:rPr>
                          <w:t xml:space="preserve">OFICIAL</w:t>
                        </w:r>
                      </w:p>
                    </w:txbxContent>
                  </v:textbox>
                </v:rect>
              </v:group>
            </w:pict>
          </mc:Fallback>
        </mc:AlternateContent>
      </w:r>
      <w:r>
        <w:rPr>
          <w:rFonts w:ascii="Arial" w:eastAsia="Arial" w:hAnsi="Arial" w:cs="Arial"/>
          <w:sz w:val="17"/>
        </w:rPr>
        <w:t>as edificações localizadas em área urbana e de transição do município parcialmente o pedido, sendo aplicável a compensação urbanística de Manaus, sejam em imóveis públicos de propriedade da União, Estado apenas nos itens considerados deferidos em decisão j</w:t>
      </w:r>
      <w:r>
        <w:rPr>
          <w:rFonts w:ascii="Arial" w:eastAsia="Arial" w:hAnsi="Arial" w:cs="Arial"/>
          <w:sz w:val="17"/>
        </w:rPr>
        <w:t xml:space="preserve">ulgada pelo seu e Município, ou em imóveis privados e de organizações da sociedade colegiado. civil, desde que comprovadamente possua edificação construída.  </w:t>
      </w:r>
    </w:p>
    <w:p w:rsidR="00803937" w:rsidRDefault="00516FD1">
      <w:pPr>
        <w:tabs>
          <w:tab w:val="center" w:pos="851"/>
          <w:tab w:val="right" w:pos="9691"/>
        </w:tabs>
        <w:spacing w:after="4" w:line="249" w:lineRule="auto"/>
      </w:pPr>
      <w:r>
        <w:tab/>
      </w: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Parágrafo único.</w:t>
      </w:r>
      <w:r>
        <w:rPr>
          <w:rFonts w:ascii="Arial" w:eastAsia="Arial" w:hAnsi="Arial" w:cs="Arial"/>
          <w:sz w:val="17"/>
        </w:rPr>
        <w:t xml:space="preserve"> Não caberá, sob qualquer justificativa, a </w:t>
      </w:r>
    </w:p>
    <w:p w:rsidR="00803937" w:rsidRDefault="00516FD1">
      <w:pPr>
        <w:tabs>
          <w:tab w:val="center" w:pos="2694"/>
          <w:tab w:val="right" w:pos="9691"/>
        </w:tabs>
        <w:spacing w:after="4" w:line="249" w:lineRule="auto"/>
      </w:pPr>
      <w:r>
        <w:tab/>
      </w:r>
      <w:r>
        <w:rPr>
          <w:rFonts w:ascii="Arial" w:eastAsia="Arial" w:hAnsi="Arial" w:cs="Arial"/>
          <w:b/>
          <w:sz w:val="17"/>
        </w:rPr>
        <w:t>§ 1.º</w:t>
      </w:r>
      <w:r>
        <w:rPr>
          <w:rFonts w:ascii="Arial" w:eastAsia="Arial" w:hAnsi="Arial" w:cs="Arial"/>
          <w:sz w:val="17"/>
        </w:rPr>
        <w:t xml:space="preserve"> Para fins de comprovação de que a edificação foi </w:t>
      </w:r>
      <w:r>
        <w:rPr>
          <w:rFonts w:ascii="Arial" w:eastAsia="Arial" w:hAnsi="Arial" w:cs="Arial"/>
          <w:sz w:val="17"/>
        </w:rPr>
        <w:tab/>
        <w:t xml:space="preserve">dispensa de pagamento de compensação urbanística, exceto o que </w:t>
      </w:r>
    </w:p>
    <w:p w:rsidR="00803937" w:rsidRDefault="00516FD1">
      <w:pPr>
        <w:tabs>
          <w:tab w:val="center" w:pos="6522"/>
        </w:tabs>
        <w:spacing w:after="4" w:line="249" w:lineRule="auto"/>
        <w:ind w:left="-15"/>
      </w:pPr>
      <w:r>
        <w:rPr>
          <w:rFonts w:ascii="Arial" w:eastAsia="Arial" w:hAnsi="Arial" w:cs="Arial"/>
          <w:sz w:val="17"/>
        </w:rPr>
        <w:t xml:space="preserve">construída, deverá ser apresentado o Boletim de Cadastro Imobiliário </w:t>
      </w:r>
      <w:r>
        <w:rPr>
          <w:rFonts w:ascii="Arial" w:eastAsia="Arial" w:hAnsi="Arial" w:cs="Arial"/>
          <w:sz w:val="17"/>
        </w:rPr>
        <w:tab/>
        <w:t xml:space="preserve">estabelece o Art. 15 </w:t>
      </w:r>
      <w:r>
        <w:rPr>
          <w:rFonts w:ascii="Arial" w:eastAsia="Arial" w:hAnsi="Arial" w:cs="Arial"/>
          <w:sz w:val="17"/>
        </w:rPr>
        <w:t xml:space="preserve">desta Lei Complementar. </w:t>
      </w:r>
    </w:p>
    <w:p w:rsidR="00803937" w:rsidRDefault="00516FD1">
      <w:pPr>
        <w:tabs>
          <w:tab w:val="center" w:pos="5953"/>
        </w:tabs>
        <w:spacing w:after="4" w:line="249" w:lineRule="auto"/>
        <w:ind w:left="-15"/>
      </w:pPr>
      <w:r>
        <w:rPr>
          <w:rFonts w:ascii="Arial" w:eastAsia="Arial" w:hAnsi="Arial" w:cs="Arial"/>
          <w:sz w:val="17"/>
        </w:rPr>
        <w:t xml:space="preserve">(BCI), plantas aerofotogramétricas, imagens de satélite, memoriais </w:t>
      </w:r>
      <w:r>
        <w:rPr>
          <w:rFonts w:ascii="Arial" w:eastAsia="Arial" w:hAnsi="Arial" w:cs="Arial"/>
          <w:sz w:val="17"/>
        </w:rPr>
        <w:tab/>
        <w:t xml:space="preserve"> </w:t>
      </w:r>
    </w:p>
    <w:p w:rsidR="00803937" w:rsidRDefault="00516FD1">
      <w:pPr>
        <w:spacing w:after="4" w:line="249" w:lineRule="auto"/>
        <w:ind w:left="-5" w:hanging="10"/>
        <w:jc w:val="both"/>
      </w:pPr>
      <w:r>
        <w:rPr>
          <w:rFonts w:ascii="Arial" w:eastAsia="Arial" w:hAnsi="Arial" w:cs="Arial"/>
          <w:sz w:val="17"/>
        </w:rPr>
        <w:t xml:space="preserve">descritivos, fotos ou outros documentos, apresentando, no mínimo, </w:t>
      </w:r>
      <w:r>
        <w:rPr>
          <w:rFonts w:ascii="Arial" w:eastAsia="Arial" w:hAnsi="Arial" w:cs="Arial"/>
          <w:b/>
          <w:sz w:val="17"/>
        </w:rPr>
        <w:t>Art. 7.º</w:t>
      </w:r>
      <w:r>
        <w:rPr>
          <w:rFonts w:ascii="Arial" w:eastAsia="Arial" w:hAnsi="Arial" w:cs="Arial"/>
          <w:sz w:val="17"/>
        </w:rPr>
        <w:t xml:space="preserve"> Poderão ser objeto de compensação urbanística as edificação com estrutura concluída, c</w:t>
      </w:r>
      <w:r>
        <w:rPr>
          <w:rFonts w:ascii="Arial" w:eastAsia="Arial" w:hAnsi="Arial" w:cs="Arial"/>
          <w:sz w:val="17"/>
        </w:rPr>
        <w:t xml:space="preserve">om todo o conjunto de vigas, pilares edificações que não atendam aos seguintes requisitos da legislação e lajes, com garantias de segurança e habitabilidade. urbanística: </w:t>
      </w:r>
    </w:p>
    <w:p w:rsidR="00803937" w:rsidRDefault="00516FD1">
      <w:pPr>
        <w:tabs>
          <w:tab w:val="center" w:pos="851"/>
          <w:tab w:val="center" w:pos="7636"/>
        </w:tabs>
        <w:spacing w:after="4" w:line="249" w:lineRule="auto"/>
      </w:pPr>
      <w:r>
        <w:tab/>
      </w: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I –</w:t>
      </w:r>
      <w:r>
        <w:rPr>
          <w:rFonts w:ascii="Arial" w:eastAsia="Arial" w:hAnsi="Arial" w:cs="Arial"/>
          <w:sz w:val="17"/>
        </w:rPr>
        <w:t xml:space="preserve"> recuo frontal, lateral, de fundos e entre edificações; </w:t>
      </w:r>
    </w:p>
    <w:p w:rsidR="00803937" w:rsidRDefault="00516FD1">
      <w:pPr>
        <w:spacing w:after="4" w:line="249" w:lineRule="auto"/>
        <w:ind w:left="-15" w:right="1374" w:firstLine="851"/>
        <w:jc w:val="both"/>
      </w:pPr>
      <w:r>
        <w:rPr>
          <w:rFonts w:ascii="Arial" w:eastAsia="Arial" w:hAnsi="Arial" w:cs="Arial"/>
          <w:b/>
          <w:sz w:val="17"/>
        </w:rPr>
        <w:t>§ 2.º</w:t>
      </w:r>
      <w:r>
        <w:rPr>
          <w:rFonts w:ascii="Arial" w:eastAsia="Arial" w:hAnsi="Arial" w:cs="Arial"/>
          <w:sz w:val="17"/>
        </w:rPr>
        <w:t xml:space="preserve"> A compensação u</w:t>
      </w:r>
      <w:r>
        <w:rPr>
          <w:rFonts w:ascii="Arial" w:eastAsia="Arial" w:hAnsi="Arial" w:cs="Arial"/>
          <w:sz w:val="17"/>
        </w:rPr>
        <w:t xml:space="preserve">rbanística será apreciada pelo </w:t>
      </w:r>
      <w:r>
        <w:rPr>
          <w:rFonts w:ascii="Arial" w:eastAsia="Arial" w:hAnsi="Arial" w:cs="Arial"/>
          <w:b/>
          <w:sz w:val="17"/>
        </w:rPr>
        <w:t>II –</w:t>
      </w:r>
      <w:r>
        <w:rPr>
          <w:rFonts w:ascii="Arial" w:eastAsia="Arial" w:hAnsi="Arial" w:cs="Arial"/>
          <w:sz w:val="17"/>
        </w:rPr>
        <w:t xml:space="preserve"> área mínima permeável; Conselho Municipal de Desenvolvimento Urbano (CMDU), em regular </w:t>
      </w:r>
      <w:r>
        <w:rPr>
          <w:rFonts w:ascii="Arial" w:eastAsia="Arial" w:hAnsi="Arial" w:cs="Arial"/>
          <w:b/>
          <w:sz w:val="17"/>
        </w:rPr>
        <w:t>III –</w:t>
      </w:r>
      <w:r>
        <w:rPr>
          <w:rFonts w:ascii="Arial" w:eastAsia="Arial" w:hAnsi="Arial" w:cs="Arial"/>
          <w:sz w:val="17"/>
        </w:rPr>
        <w:t xml:space="preserve"> vagas de garagem. </w:t>
      </w:r>
    </w:p>
    <w:p w:rsidR="00803937" w:rsidRDefault="00516FD1">
      <w:pPr>
        <w:tabs>
          <w:tab w:val="center" w:pos="5953"/>
        </w:tabs>
        <w:spacing w:after="4" w:line="249" w:lineRule="auto"/>
        <w:ind w:left="-15"/>
      </w:pPr>
      <w:r>
        <w:rPr>
          <w:rFonts w:ascii="Arial" w:eastAsia="Arial" w:hAnsi="Arial" w:cs="Arial"/>
          <w:sz w:val="17"/>
        </w:rPr>
        <w:t xml:space="preserve">processo administrativo, após análise realizada pelo Setor de Análise de </w:t>
      </w:r>
      <w:r>
        <w:rPr>
          <w:rFonts w:ascii="Arial" w:eastAsia="Arial" w:hAnsi="Arial" w:cs="Arial"/>
          <w:sz w:val="17"/>
        </w:rPr>
        <w:tab/>
        <w:t xml:space="preserve"> </w:t>
      </w:r>
    </w:p>
    <w:p w:rsidR="00803937" w:rsidRDefault="00516FD1">
      <w:pPr>
        <w:spacing w:after="4" w:line="249" w:lineRule="auto"/>
        <w:ind w:left="-5" w:hanging="10"/>
        <w:jc w:val="both"/>
      </w:pPr>
      <w:r>
        <w:rPr>
          <w:rFonts w:ascii="Arial" w:eastAsia="Arial" w:hAnsi="Arial" w:cs="Arial"/>
          <w:sz w:val="17"/>
        </w:rPr>
        <w:t xml:space="preserve">Projetos do Instituto Municipal </w:t>
      </w:r>
      <w:r>
        <w:rPr>
          <w:rFonts w:ascii="Arial" w:eastAsia="Arial" w:hAnsi="Arial" w:cs="Arial"/>
          <w:sz w:val="17"/>
        </w:rPr>
        <w:t xml:space="preserve">de Planejamento Urbano (Implurb), com </w:t>
      </w:r>
      <w:r>
        <w:rPr>
          <w:rFonts w:ascii="Arial" w:eastAsia="Arial" w:hAnsi="Arial" w:cs="Arial"/>
          <w:b/>
          <w:sz w:val="17"/>
        </w:rPr>
        <w:t>Art. 8.º</w:t>
      </w:r>
      <w:r>
        <w:rPr>
          <w:rFonts w:ascii="Arial" w:eastAsia="Arial" w:hAnsi="Arial" w:cs="Arial"/>
          <w:sz w:val="17"/>
        </w:rPr>
        <w:t xml:space="preserve"> A compensação urbanística será calculada pelo base nas premissas estabelecidas nesta Lei. Setor de Análise de Projetos do IMPLURB, pela seguinte fórmula: </w:t>
      </w:r>
    </w:p>
    <w:p w:rsidR="00803937" w:rsidRDefault="00516FD1">
      <w:pPr>
        <w:tabs>
          <w:tab w:val="center" w:pos="851"/>
          <w:tab w:val="center" w:pos="6648"/>
        </w:tabs>
        <w:spacing w:after="4" w:line="249" w:lineRule="auto"/>
      </w:pPr>
      <w:r>
        <w:tab/>
      </w:r>
      <w:r>
        <w:rPr>
          <w:rFonts w:ascii="Arial" w:eastAsia="Arial" w:hAnsi="Arial" w:cs="Arial"/>
          <w:sz w:val="17"/>
        </w:rPr>
        <w:t xml:space="preserve"> </w:t>
      </w:r>
      <w:r>
        <w:rPr>
          <w:rFonts w:ascii="Arial" w:eastAsia="Arial" w:hAnsi="Arial" w:cs="Arial"/>
          <w:sz w:val="17"/>
        </w:rPr>
        <w:tab/>
        <w:t xml:space="preserve">VC = A x VR x IC x ZF </w:t>
      </w:r>
    </w:p>
    <w:p w:rsidR="00803937" w:rsidRDefault="00516FD1">
      <w:pPr>
        <w:tabs>
          <w:tab w:val="center" w:pos="2694"/>
          <w:tab w:val="center" w:pos="6144"/>
        </w:tabs>
        <w:spacing w:after="4" w:line="249" w:lineRule="auto"/>
      </w:pPr>
      <w:r>
        <w:tab/>
      </w:r>
      <w:r>
        <w:rPr>
          <w:rFonts w:ascii="Arial" w:eastAsia="Arial" w:hAnsi="Arial" w:cs="Arial"/>
          <w:b/>
          <w:sz w:val="17"/>
        </w:rPr>
        <w:t>§ 3.º</w:t>
      </w:r>
      <w:r>
        <w:rPr>
          <w:rFonts w:ascii="Arial" w:eastAsia="Arial" w:hAnsi="Arial" w:cs="Arial"/>
          <w:sz w:val="17"/>
        </w:rPr>
        <w:t xml:space="preserve"> Uma vez analisada e d</w:t>
      </w:r>
      <w:r>
        <w:rPr>
          <w:rFonts w:ascii="Arial" w:eastAsia="Arial" w:hAnsi="Arial" w:cs="Arial"/>
          <w:sz w:val="17"/>
        </w:rPr>
        <w:t xml:space="preserve">eferida pelo CMDU, a </w:t>
      </w:r>
      <w:r>
        <w:rPr>
          <w:rFonts w:ascii="Arial" w:eastAsia="Arial" w:hAnsi="Arial" w:cs="Arial"/>
          <w:sz w:val="17"/>
        </w:rPr>
        <w:tab/>
        <w:t xml:space="preserve">Onde: </w:t>
      </w:r>
    </w:p>
    <w:p w:rsidR="00803937" w:rsidRDefault="00516FD1">
      <w:pPr>
        <w:tabs>
          <w:tab w:val="center" w:pos="6850"/>
        </w:tabs>
        <w:spacing w:after="4" w:line="249" w:lineRule="auto"/>
        <w:ind w:left="-15"/>
      </w:pPr>
      <w:r>
        <w:rPr>
          <w:rFonts w:ascii="Arial" w:eastAsia="Arial" w:hAnsi="Arial" w:cs="Arial"/>
          <w:sz w:val="17"/>
        </w:rPr>
        <w:t xml:space="preserve">cobrança da compensação urbanística será processada pelo Implurb. </w:t>
      </w:r>
      <w:r>
        <w:rPr>
          <w:rFonts w:ascii="Arial" w:eastAsia="Arial" w:hAnsi="Arial" w:cs="Arial"/>
          <w:sz w:val="17"/>
        </w:rPr>
        <w:tab/>
        <w:t xml:space="preserve">VC = valor da compensação; </w:t>
      </w:r>
    </w:p>
    <w:p w:rsidR="00803937" w:rsidRDefault="00516FD1">
      <w:pPr>
        <w:tabs>
          <w:tab w:val="center" w:pos="851"/>
          <w:tab w:val="center" w:pos="7390"/>
        </w:tabs>
        <w:spacing w:after="4" w:line="249" w:lineRule="auto"/>
      </w:pPr>
      <w:r>
        <w:tab/>
      </w:r>
      <w:r>
        <w:rPr>
          <w:rFonts w:ascii="Arial" w:eastAsia="Arial" w:hAnsi="Arial" w:cs="Arial"/>
          <w:sz w:val="17"/>
        </w:rPr>
        <w:t xml:space="preserve"> </w:t>
      </w:r>
      <w:r>
        <w:rPr>
          <w:rFonts w:ascii="Arial" w:eastAsia="Arial" w:hAnsi="Arial" w:cs="Arial"/>
          <w:sz w:val="17"/>
        </w:rPr>
        <w:tab/>
        <w:t xml:space="preserve">A = área total em desacordo com a legislação; </w:t>
      </w:r>
    </w:p>
    <w:p w:rsidR="00803937" w:rsidRDefault="00516FD1">
      <w:pPr>
        <w:spacing w:after="4" w:line="249" w:lineRule="auto"/>
        <w:ind w:left="-15" w:firstLine="851"/>
        <w:jc w:val="both"/>
      </w:pPr>
      <w:r>
        <w:rPr>
          <w:rFonts w:ascii="Arial" w:eastAsia="Arial" w:hAnsi="Arial" w:cs="Arial"/>
          <w:b/>
          <w:sz w:val="17"/>
        </w:rPr>
        <w:t>§ 4.º</w:t>
      </w:r>
      <w:r>
        <w:rPr>
          <w:rFonts w:ascii="Arial" w:eastAsia="Arial" w:hAnsi="Arial" w:cs="Arial"/>
          <w:sz w:val="17"/>
        </w:rPr>
        <w:t xml:space="preserve"> O encaminhamento do processo para a análise do VR = Valor de Referência - equivalente a Unidade Fiscal CMDU somente ocorrerá mediante pedido do interessado. do Município (UFM) vigente; </w:t>
      </w:r>
    </w:p>
    <w:p w:rsidR="00803937" w:rsidRDefault="00516FD1">
      <w:pPr>
        <w:tabs>
          <w:tab w:val="center" w:pos="851"/>
          <w:tab w:val="right" w:pos="9691"/>
        </w:tabs>
        <w:spacing w:after="4" w:line="249" w:lineRule="auto"/>
      </w:pPr>
      <w:r>
        <w:tab/>
      </w:r>
      <w:r>
        <w:rPr>
          <w:rFonts w:ascii="Arial" w:eastAsia="Arial" w:hAnsi="Arial" w:cs="Arial"/>
          <w:sz w:val="17"/>
        </w:rPr>
        <w:t xml:space="preserve"> </w:t>
      </w:r>
      <w:r>
        <w:rPr>
          <w:rFonts w:ascii="Arial" w:eastAsia="Arial" w:hAnsi="Arial" w:cs="Arial"/>
          <w:sz w:val="17"/>
        </w:rPr>
        <w:tab/>
        <w:t xml:space="preserve">IC = Índice de Compensação, conforme determinado no </w:t>
      </w:r>
    </w:p>
    <w:p w:rsidR="00803937" w:rsidRDefault="00516FD1">
      <w:pPr>
        <w:tabs>
          <w:tab w:val="center" w:pos="2693"/>
          <w:tab w:val="center" w:pos="7071"/>
        </w:tabs>
        <w:spacing w:after="4" w:line="249" w:lineRule="auto"/>
      </w:pPr>
      <w:r>
        <w:tab/>
      </w:r>
      <w:r>
        <w:rPr>
          <w:rFonts w:ascii="Arial" w:eastAsia="Arial" w:hAnsi="Arial" w:cs="Arial"/>
          <w:b/>
          <w:sz w:val="17"/>
        </w:rPr>
        <w:t>Art. 4.º</w:t>
      </w:r>
      <w:r>
        <w:rPr>
          <w:rFonts w:ascii="Arial" w:eastAsia="Arial" w:hAnsi="Arial" w:cs="Arial"/>
          <w:sz w:val="17"/>
        </w:rPr>
        <w:t xml:space="preserve"> Apl</w:t>
      </w:r>
      <w:r>
        <w:rPr>
          <w:rFonts w:ascii="Arial" w:eastAsia="Arial" w:hAnsi="Arial" w:cs="Arial"/>
          <w:sz w:val="17"/>
        </w:rPr>
        <w:t xml:space="preserve">ica-se a compensação urbanística para fins de </w:t>
      </w:r>
      <w:r>
        <w:rPr>
          <w:rFonts w:ascii="Arial" w:eastAsia="Arial" w:hAnsi="Arial" w:cs="Arial"/>
          <w:sz w:val="17"/>
        </w:rPr>
        <w:tab/>
        <w:t xml:space="preserve">Anexo Único, que faz parte integrante desta Lei Complementar; </w:t>
      </w:r>
    </w:p>
    <w:p w:rsidR="00803937" w:rsidRDefault="00516FD1">
      <w:pPr>
        <w:spacing w:after="4" w:line="249" w:lineRule="auto"/>
        <w:ind w:left="-5" w:hanging="10"/>
        <w:jc w:val="both"/>
      </w:pPr>
      <w:r>
        <w:rPr>
          <w:rFonts w:ascii="Arial" w:eastAsia="Arial" w:hAnsi="Arial" w:cs="Arial"/>
          <w:sz w:val="17"/>
        </w:rPr>
        <w:t>regularização e/ou habite-se de edificações construídas dentro dos ZF = Zona Fiscal: o coeficiente de multiplicação será limites de lote registrad</w:t>
      </w:r>
      <w:r>
        <w:rPr>
          <w:rFonts w:ascii="Arial" w:eastAsia="Arial" w:hAnsi="Arial" w:cs="Arial"/>
          <w:sz w:val="17"/>
        </w:rPr>
        <w:t xml:space="preserve">os no ofício de registro de imóveis competente, definido pelo Setor Urbano, Corredor Urbano ou Zona de Transição de desde que atenda às seguintes condições: localização do imóvel, definido pelo Plano Diretor Urbano de Manaus. </w:t>
      </w:r>
    </w:p>
    <w:p w:rsidR="00803937" w:rsidRDefault="00516FD1">
      <w:pPr>
        <w:spacing w:after="375"/>
        <w:ind w:right="21"/>
        <w:jc w:val="center"/>
      </w:pPr>
      <w:r>
        <w:rPr>
          <w:rFonts w:ascii="Arial" w:eastAsia="Arial" w:hAnsi="Arial" w:cs="Arial"/>
          <w:b/>
          <w:sz w:val="11"/>
        </w:rPr>
        <w:t xml:space="preserve"> </w:t>
      </w:r>
    </w:p>
    <w:p w:rsidR="00803937" w:rsidRDefault="00516FD1">
      <w:pPr>
        <w:spacing w:after="0"/>
        <w:jc w:val="right"/>
      </w:pPr>
      <w:r>
        <w:rPr>
          <w:rFonts w:ascii="Arial" w:eastAsia="Arial" w:hAnsi="Arial" w:cs="Arial"/>
          <w:b/>
          <w:sz w:val="17"/>
        </w:rPr>
        <w:t xml:space="preserve"> </w:t>
      </w:r>
    </w:p>
    <w:p w:rsidR="00803937" w:rsidRDefault="00516FD1">
      <w:pPr>
        <w:spacing w:after="63"/>
        <w:ind w:left="1276"/>
      </w:pPr>
      <w:r>
        <w:rPr>
          <w:rFonts w:ascii="Arial" w:eastAsia="Arial" w:hAnsi="Arial" w:cs="Arial"/>
          <w:sz w:val="11"/>
        </w:rPr>
        <w:t xml:space="preserve"> </w:t>
      </w:r>
    </w:p>
    <w:p w:rsidR="00803937" w:rsidRDefault="00516FD1">
      <w:pPr>
        <w:pStyle w:val="Ttulo2"/>
        <w:jc w:val="right"/>
      </w:pPr>
      <w:r>
        <w:t xml:space="preserve">Manaus, terça-feira, 06 de janeiro de 2026 </w:t>
      </w:r>
    </w:p>
    <w:p w:rsidR="00803937" w:rsidRDefault="00803937">
      <w:pPr>
        <w:sectPr w:rsidR="00803937">
          <w:headerReference w:type="even" r:id="rId17"/>
          <w:headerReference w:type="default" r:id="rId18"/>
          <w:footerReference w:type="even" r:id="rId19"/>
          <w:footerReference w:type="default" r:id="rId20"/>
          <w:headerReference w:type="first" r:id="rId21"/>
          <w:footerReference w:type="first" r:id="rId22"/>
          <w:pgSz w:w="11904" w:h="16840"/>
          <w:pgMar w:top="443" w:right="1080" w:bottom="456" w:left="1134" w:header="720" w:footer="720" w:gutter="0"/>
          <w:cols w:space="720"/>
        </w:sectPr>
      </w:pPr>
    </w:p>
    <w:p w:rsidR="00803937" w:rsidRDefault="00516FD1">
      <w:pPr>
        <w:spacing w:after="47" w:line="238" w:lineRule="auto"/>
        <w:ind w:left="1276" w:right="3544"/>
      </w:pPr>
      <w:r>
        <w:rPr>
          <w:rFonts w:ascii="Arial" w:eastAsia="Arial" w:hAnsi="Arial" w:cs="Arial"/>
          <w:sz w:val="11"/>
        </w:rPr>
        <w:t xml:space="preserve"> </w:t>
      </w:r>
      <w:r>
        <w:rPr>
          <w:rFonts w:ascii="Arial" w:eastAsia="Arial" w:hAnsi="Arial" w:cs="Arial"/>
          <w:sz w:val="12"/>
        </w:rPr>
        <w:t xml:space="preserve"> </w:t>
      </w:r>
    </w:p>
    <w:p w:rsidR="00803937" w:rsidRDefault="00516FD1">
      <w:pPr>
        <w:spacing w:after="4" w:line="249" w:lineRule="auto"/>
        <w:ind w:left="-15" w:firstLine="851"/>
        <w:jc w:val="both"/>
      </w:pPr>
      <w:r>
        <w:rPr>
          <w:rFonts w:ascii="Arial" w:eastAsia="Arial" w:hAnsi="Arial" w:cs="Arial"/>
          <w:b/>
          <w:sz w:val="17"/>
        </w:rPr>
        <w:t>Parágrafo único.</w:t>
      </w:r>
      <w:r>
        <w:rPr>
          <w:rFonts w:ascii="Arial" w:eastAsia="Arial" w:hAnsi="Arial" w:cs="Arial"/>
          <w:sz w:val="17"/>
        </w:rPr>
        <w:t xml:space="preserve"> Para fins de definição da Zona Fiscal e respectivo coeficiente de multiplicação, fica devido: </w:t>
      </w:r>
    </w:p>
    <w:p w:rsidR="00803937" w:rsidRDefault="00516FD1">
      <w:pPr>
        <w:numPr>
          <w:ilvl w:val="0"/>
          <w:numId w:val="7"/>
        </w:numPr>
        <w:spacing w:after="4" w:line="249" w:lineRule="auto"/>
        <w:ind w:right="163" w:firstLine="851"/>
        <w:jc w:val="both"/>
      </w:pPr>
      <w:r>
        <w:rPr>
          <w:rFonts w:ascii="Arial" w:eastAsia="Arial" w:hAnsi="Arial" w:cs="Arial"/>
          <w:b/>
          <w:sz w:val="17"/>
        </w:rPr>
        <w:t>–</w:t>
      </w:r>
      <w:r>
        <w:rPr>
          <w:rFonts w:ascii="Arial" w:eastAsia="Arial" w:hAnsi="Arial" w:cs="Arial"/>
          <w:sz w:val="17"/>
        </w:rPr>
        <w:t xml:space="preserve"> para edificações localizadas sobre a abrangência de Corredores Urbanos, o coeficiente igual a 2,0; </w:t>
      </w:r>
    </w:p>
    <w:p w:rsidR="00803937" w:rsidRDefault="00516FD1">
      <w:pPr>
        <w:numPr>
          <w:ilvl w:val="0"/>
          <w:numId w:val="7"/>
        </w:numPr>
        <w:spacing w:after="4" w:line="249" w:lineRule="auto"/>
        <w:ind w:right="163" w:firstLine="851"/>
        <w:jc w:val="both"/>
      </w:pPr>
      <w:r>
        <w:rPr>
          <w:rFonts w:ascii="Arial" w:eastAsia="Arial" w:hAnsi="Arial" w:cs="Arial"/>
          <w:b/>
          <w:sz w:val="17"/>
        </w:rPr>
        <w:t>–</w:t>
      </w:r>
      <w:r>
        <w:rPr>
          <w:rFonts w:ascii="Arial" w:eastAsia="Arial" w:hAnsi="Arial" w:cs="Arial"/>
          <w:sz w:val="17"/>
        </w:rPr>
        <w:t xml:space="preserve"> para edificações localizadas nos Setores Urbanos 1, 3, 5</w:t>
      </w:r>
      <w:r>
        <w:rPr>
          <w:rFonts w:ascii="Arial" w:eastAsia="Arial" w:hAnsi="Arial" w:cs="Arial"/>
          <w:sz w:val="17"/>
        </w:rPr>
        <w:t xml:space="preserve">, 9, 10, 11, 12, 13, 14 e 15, o coeficiente igual a 1,75; </w:t>
      </w:r>
    </w:p>
    <w:p w:rsidR="00803937" w:rsidRDefault="00516FD1">
      <w:pPr>
        <w:numPr>
          <w:ilvl w:val="0"/>
          <w:numId w:val="7"/>
        </w:numPr>
        <w:spacing w:after="4" w:line="249" w:lineRule="auto"/>
        <w:ind w:right="163" w:firstLine="851"/>
        <w:jc w:val="both"/>
      </w:pPr>
      <w:r>
        <w:rPr>
          <w:rFonts w:ascii="Arial" w:eastAsia="Arial" w:hAnsi="Arial" w:cs="Arial"/>
          <w:b/>
          <w:sz w:val="17"/>
        </w:rPr>
        <w:t xml:space="preserve">– </w:t>
      </w:r>
      <w:r>
        <w:rPr>
          <w:rFonts w:ascii="Arial" w:eastAsia="Arial" w:hAnsi="Arial" w:cs="Arial"/>
          <w:sz w:val="17"/>
        </w:rPr>
        <w:t xml:space="preserve">para edificações localizadas nos Setores Urbanos 2, 4, 6, 7, 8, 16, 17 e 18, o coeficiente igual a 1,5; </w:t>
      </w:r>
    </w:p>
    <w:p w:rsidR="00803937" w:rsidRDefault="00516FD1">
      <w:pPr>
        <w:numPr>
          <w:ilvl w:val="0"/>
          <w:numId w:val="7"/>
        </w:numPr>
        <w:spacing w:after="4" w:line="249" w:lineRule="auto"/>
        <w:ind w:right="163" w:firstLine="851"/>
        <w:jc w:val="both"/>
      </w:pPr>
      <w:r>
        <w:rPr>
          <w:rFonts w:ascii="Arial" w:eastAsia="Arial" w:hAnsi="Arial" w:cs="Arial"/>
          <w:b/>
          <w:sz w:val="17"/>
        </w:rPr>
        <w:t>–</w:t>
      </w:r>
      <w:r>
        <w:rPr>
          <w:rFonts w:ascii="Arial" w:eastAsia="Arial" w:hAnsi="Arial" w:cs="Arial"/>
          <w:sz w:val="17"/>
        </w:rPr>
        <w:t xml:space="preserve"> para edificações localizadas nas Zonas de Transição, o coeficiente igual a 1,25.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Art.</w:t>
      </w:r>
      <w:r>
        <w:rPr>
          <w:rFonts w:ascii="Arial" w:eastAsia="Arial" w:hAnsi="Arial" w:cs="Arial"/>
          <w:b/>
          <w:sz w:val="17"/>
        </w:rPr>
        <w:t xml:space="preserve"> 9.º</w:t>
      </w:r>
      <w:r>
        <w:rPr>
          <w:rFonts w:ascii="Arial" w:eastAsia="Arial" w:hAnsi="Arial" w:cs="Arial"/>
          <w:sz w:val="17"/>
        </w:rPr>
        <w:t xml:space="preserve"> A compensação urbanística somente incidirá sobre as áreas que estiverem em desacordo com os itens apresentados no art. 7.º e utilizarão o índice de compensação conforme determinado no Anexo Único desta Lei Complementar.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6" w:firstLine="851"/>
        <w:jc w:val="both"/>
      </w:pPr>
      <w:r>
        <w:rPr>
          <w:rFonts w:ascii="Arial" w:eastAsia="Arial" w:hAnsi="Arial" w:cs="Arial"/>
          <w:b/>
          <w:sz w:val="17"/>
        </w:rPr>
        <w:t>Parágrafo único.</w:t>
      </w:r>
      <w:r>
        <w:rPr>
          <w:rFonts w:ascii="Arial" w:eastAsia="Arial" w:hAnsi="Arial" w:cs="Arial"/>
          <w:sz w:val="17"/>
        </w:rPr>
        <w:t xml:space="preserve"> Na hipótese</w:t>
      </w:r>
      <w:r>
        <w:rPr>
          <w:rFonts w:ascii="Arial" w:eastAsia="Arial" w:hAnsi="Arial" w:cs="Arial"/>
          <w:sz w:val="17"/>
        </w:rPr>
        <w:t xml:space="preserve"> da edificação a ser regularizada exceder o Coeficiente de Aproveitamento Básico do Terreno (CABT) e estiver localizada em zoneamentos que permitam a outorga onerosa do direito de construir, deverão ser utilizados os índices da outorga até o Coeficiente de</w:t>
      </w:r>
      <w:r>
        <w:rPr>
          <w:rFonts w:ascii="Arial" w:eastAsia="Arial" w:hAnsi="Arial" w:cs="Arial"/>
          <w:sz w:val="17"/>
        </w:rPr>
        <w:t xml:space="preserve"> Aproveitamento Máximo do Terreno (CAMT) permitido em Lei.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Art. 10.</w:t>
      </w:r>
      <w:r>
        <w:rPr>
          <w:rFonts w:ascii="Arial" w:eastAsia="Arial" w:hAnsi="Arial" w:cs="Arial"/>
          <w:sz w:val="17"/>
        </w:rPr>
        <w:t xml:space="preserve"> Quando houver mais de um item em desacordo com a legislação urbanística, estes deverão ser somados, de forma que a compensação urbanística total seja calculada pela soma das compensaçõe</w:t>
      </w:r>
      <w:r>
        <w:rPr>
          <w:rFonts w:ascii="Arial" w:eastAsia="Arial" w:hAnsi="Arial" w:cs="Arial"/>
          <w:sz w:val="17"/>
        </w:rPr>
        <w:t xml:space="preserve">s dos itens previstos no art. 7.º desta Lei.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Parágrafo único.</w:t>
      </w:r>
      <w:r>
        <w:rPr>
          <w:rFonts w:ascii="Arial" w:eastAsia="Arial" w:hAnsi="Arial" w:cs="Arial"/>
          <w:sz w:val="17"/>
        </w:rPr>
        <w:t xml:space="preserve"> Quando os itens em desacordo estiverem enquadrados em categorias cujo índice de compensação seja diferente, conforme Anexo Único, eles deverão ser calculados individualmente e, posteriormente, somados. </w:t>
      </w:r>
    </w:p>
    <w:p w:rsidR="00803937" w:rsidRDefault="00516FD1">
      <w:pPr>
        <w:spacing w:after="0"/>
        <w:ind w:left="851"/>
      </w:pPr>
      <w:r>
        <w:rPr>
          <w:rFonts w:ascii="Arial" w:eastAsia="Arial" w:hAnsi="Arial" w:cs="Arial"/>
          <w:sz w:val="17"/>
        </w:rPr>
        <w:t xml:space="preserve"> </w:t>
      </w:r>
    </w:p>
    <w:p w:rsidR="00803937" w:rsidRDefault="00516FD1">
      <w:pPr>
        <w:spacing w:after="0" w:line="247" w:lineRule="auto"/>
        <w:ind w:right="122" w:firstLine="851"/>
      </w:pPr>
      <w:r>
        <w:rPr>
          <w:rFonts w:ascii="Arial" w:eastAsia="Arial" w:hAnsi="Arial" w:cs="Arial"/>
          <w:b/>
          <w:sz w:val="17"/>
        </w:rPr>
        <w:t>Art. 11.</w:t>
      </w:r>
      <w:r>
        <w:rPr>
          <w:rFonts w:ascii="Arial" w:eastAsia="Arial" w:hAnsi="Arial" w:cs="Arial"/>
          <w:sz w:val="17"/>
        </w:rPr>
        <w:t xml:space="preserve"> A emissão do alvará de construção e/ou ha</w:t>
      </w:r>
      <w:r>
        <w:rPr>
          <w:rFonts w:ascii="Arial" w:eastAsia="Arial" w:hAnsi="Arial" w:cs="Arial"/>
          <w:sz w:val="17"/>
        </w:rPr>
        <w:t xml:space="preserve">bite-se da edificação regularizada por meio desta Lei Complementar fica condicionada </w:t>
      </w:r>
      <w:r>
        <w:rPr>
          <w:rFonts w:ascii="Arial" w:eastAsia="Arial" w:hAnsi="Arial" w:cs="Arial"/>
          <w:sz w:val="17"/>
        </w:rPr>
        <w:tab/>
        <w:t xml:space="preserve">ao </w:t>
      </w:r>
      <w:r>
        <w:rPr>
          <w:rFonts w:ascii="Arial" w:eastAsia="Arial" w:hAnsi="Arial" w:cs="Arial"/>
          <w:sz w:val="17"/>
        </w:rPr>
        <w:tab/>
        <w:t xml:space="preserve">pagamento </w:t>
      </w:r>
      <w:r>
        <w:rPr>
          <w:rFonts w:ascii="Arial" w:eastAsia="Arial" w:hAnsi="Arial" w:cs="Arial"/>
          <w:sz w:val="17"/>
        </w:rPr>
        <w:tab/>
        <w:t xml:space="preserve">integral </w:t>
      </w:r>
      <w:r>
        <w:rPr>
          <w:rFonts w:ascii="Arial" w:eastAsia="Arial" w:hAnsi="Arial" w:cs="Arial"/>
          <w:sz w:val="17"/>
        </w:rPr>
        <w:tab/>
        <w:t xml:space="preserve">do </w:t>
      </w:r>
      <w:r>
        <w:rPr>
          <w:rFonts w:ascii="Arial" w:eastAsia="Arial" w:hAnsi="Arial" w:cs="Arial"/>
          <w:sz w:val="17"/>
        </w:rPr>
        <w:tab/>
        <w:t xml:space="preserve">valor </w:t>
      </w:r>
      <w:r>
        <w:rPr>
          <w:rFonts w:ascii="Arial" w:eastAsia="Arial" w:hAnsi="Arial" w:cs="Arial"/>
          <w:sz w:val="17"/>
        </w:rPr>
        <w:tab/>
        <w:t xml:space="preserve">auferido </w:t>
      </w:r>
      <w:r>
        <w:rPr>
          <w:rFonts w:ascii="Arial" w:eastAsia="Arial" w:hAnsi="Arial" w:cs="Arial"/>
          <w:sz w:val="17"/>
        </w:rPr>
        <w:tab/>
        <w:t xml:space="preserve">como compensação urbanística.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 1.º</w:t>
      </w:r>
      <w:r>
        <w:rPr>
          <w:rFonts w:ascii="Arial" w:eastAsia="Arial" w:hAnsi="Arial" w:cs="Arial"/>
          <w:sz w:val="17"/>
        </w:rPr>
        <w:t xml:space="preserve"> O valor auferido poderá ser pago parceladamente, de forma mensal e dentro do exercíci</w:t>
      </w:r>
      <w:r>
        <w:rPr>
          <w:rFonts w:ascii="Arial" w:eastAsia="Arial" w:hAnsi="Arial" w:cs="Arial"/>
          <w:sz w:val="17"/>
        </w:rPr>
        <w:t xml:space="preserve">o, após a assinatura do Termo de Confissão de Dívida e Promessa de Pagamento de Débito Não Tributário, desde que cada parcela seja de, no mínimo, 01 (uma) Unidade Fiscal do Município (UFM).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 2.º</w:t>
      </w:r>
      <w:r>
        <w:rPr>
          <w:rFonts w:ascii="Arial" w:eastAsia="Arial" w:hAnsi="Arial" w:cs="Arial"/>
          <w:sz w:val="17"/>
        </w:rPr>
        <w:t xml:space="preserve"> O não pagamento de 03 (três) parcelas consecutivas ou não</w:t>
      </w:r>
      <w:r>
        <w:rPr>
          <w:rFonts w:ascii="Arial" w:eastAsia="Arial" w:hAnsi="Arial" w:cs="Arial"/>
          <w:sz w:val="17"/>
        </w:rPr>
        <w:t xml:space="preserve">, implicará o cancelamento do parcelamento com a imediata inscrição em dívida ativa do saldo remanescente e demais providências cabíveis para recebimento das dívidas. </w:t>
      </w:r>
    </w:p>
    <w:p w:rsidR="00803937" w:rsidRDefault="00516FD1">
      <w:pPr>
        <w:spacing w:after="5"/>
        <w:ind w:left="851"/>
      </w:pPr>
      <w:r>
        <w:rPr>
          <w:rFonts w:ascii="Arial" w:eastAsia="Arial" w:hAnsi="Arial" w:cs="Arial"/>
          <w:sz w:val="15"/>
        </w:rPr>
        <w:t xml:space="preserve"> </w:t>
      </w:r>
    </w:p>
    <w:p w:rsidR="00803937" w:rsidRDefault="00516FD1">
      <w:pPr>
        <w:spacing w:after="4" w:line="249" w:lineRule="auto"/>
        <w:ind w:left="-15" w:firstLine="851"/>
        <w:jc w:val="both"/>
      </w:pPr>
      <w:r>
        <w:rPr>
          <w:rFonts w:ascii="Arial" w:eastAsia="Arial" w:hAnsi="Arial" w:cs="Arial"/>
          <w:b/>
          <w:sz w:val="17"/>
        </w:rPr>
        <w:t>§ 3.º</w:t>
      </w:r>
      <w:r>
        <w:rPr>
          <w:rFonts w:ascii="Arial" w:eastAsia="Arial" w:hAnsi="Arial" w:cs="Arial"/>
          <w:sz w:val="17"/>
        </w:rPr>
        <w:t xml:space="preserve"> É facultado ao contribuinte antecipar parcial ou totalmente o valor de parcelas </w:t>
      </w:r>
      <w:r>
        <w:rPr>
          <w:rFonts w:ascii="Arial" w:eastAsia="Arial" w:hAnsi="Arial" w:cs="Arial"/>
          <w:sz w:val="17"/>
        </w:rPr>
        <w:t xml:space="preserve">vincendas.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Art. 12.</w:t>
      </w:r>
      <w:r>
        <w:rPr>
          <w:rFonts w:ascii="Arial" w:eastAsia="Arial" w:hAnsi="Arial" w:cs="Arial"/>
          <w:sz w:val="17"/>
        </w:rPr>
        <w:t xml:space="preserve"> Os valores auferidos serão depositados em conta específica do Fundo Municipal de Desenvolvimento Urbano - FMDU, administrada pelo Implurb, e serão aplicados nos termos da legislação pertinente.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Art. 13.</w:t>
      </w:r>
      <w:r>
        <w:rPr>
          <w:rFonts w:ascii="Arial" w:eastAsia="Arial" w:hAnsi="Arial" w:cs="Arial"/>
          <w:sz w:val="17"/>
        </w:rPr>
        <w:t xml:space="preserve"> Os pedidos de regularização e/ou habite-se de edificações com fundamento nesta Lei Complementar não isentam o proprietário do pagamento de tributos, preços públicos e outras obrigações legais incidentes sobre o imóvel.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right="315" w:firstLine="851"/>
        <w:jc w:val="both"/>
      </w:pPr>
      <w:r>
        <w:rPr>
          <w:rFonts w:ascii="Arial" w:eastAsia="Arial" w:hAnsi="Arial" w:cs="Arial"/>
          <w:b/>
          <w:sz w:val="17"/>
        </w:rPr>
        <w:t>Art. 14.</w:t>
      </w:r>
      <w:r>
        <w:rPr>
          <w:rFonts w:ascii="Arial" w:eastAsia="Arial" w:hAnsi="Arial" w:cs="Arial"/>
          <w:sz w:val="17"/>
        </w:rPr>
        <w:t xml:space="preserve"> Esta Lei Complementar nã</w:t>
      </w:r>
      <w:r>
        <w:rPr>
          <w:rFonts w:ascii="Arial" w:eastAsia="Arial" w:hAnsi="Arial" w:cs="Arial"/>
          <w:sz w:val="17"/>
        </w:rPr>
        <w:t xml:space="preserve">o isenta o proprietário do imóvel do pagamento de eventuais multas emitidas em razão de irregularidades constatadas na edificação, cumprimento de outorgas onerosas, medidas mitigadoras e compensatórias.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firstLine="851"/>
        <w:jc w:val="both"/>
      </w:pPr>
      <w:r>
        <w:rPr>
          <w:rFonts w:ascii="Arial" w:eastAsia="Arial" w:hAnsi="Arial" w:cs="Arial"/>
          <w:b/>
          <w:sz w:val="17"/>
        </w:rPr>
        <w:t>Art. 15.</w:t>
      </w:r>
      <w:r>
        <w:rPr>
          <w:rFonts w:ascii="Arial" w:eastAsia="Arial" w:hAnsi="Arial" w:cs="Arial"/>
          <w:sz w:val="17"/>
        </w:rPr>
        <w:t xml:space="preserve"> Ficam isentos de pagamento da compensação</w:t>
      </w:r>
      <w:r>
        <w:rPr>
          <w:rFonts w:ascii="Arial" w:eastAsia="Arial" w:hAnsi="Arial" w:cs="Arial"/>
          <w:sz w:val="17"/>
        </w:rPr>
        <w:t xml:space="preserve"> urbanística: </w:t>
      </w:r>
    </w:p>
    <w:p w:rsidR="00803937" w:rsidRDefault="00516FD1">
      <w:pPr>
        <w:numPr>
          <w:ilvl w:val="0"/>
          <w:numId w:val="8"/>
        </w:numPr>
        <w:spacing w:after="4" w:line="249" w:lineRule="auto"/>
        <w:ind w:right="158" w:firstLine="851"/>
        <w:jc w:val="both"/>
      </w:pPr>
      <w:r>
        <w:rPr>
          <w:rFonts w:ascii="Arial" w:eastAsia="Arial" w:hAnsi="Arial" w:cs="Arial"/>
          <w:b/>
          <w:sz w:val="17"/>
        </w:rPr>
        <w:t>–</w:t>
      </w:r>
      <w:r>
        <w:rPr>
          <w:rFonts w:ascii="Arial" w:eastAsia="Arial" w:hAnsi="Arial" w:cs="Arial"/>
          <w:sz w:val="17"/>
        </w:rPr>
        <w:t xml:space="preserve"> os entes públicos; </w:t>
      </w:r>
    </w:p>
    <w:p w:rsidR="00803937" w:rsidRDefault="00516FD1">
      <w:pPr>
        <w:numPr>
          <w:ilvl w:val="0"/>
          <w:numId w:val="8"/>
        </w:numPr>
        <w:spacing w:after="4" w:line="249" w:lineRule="auto"/>
        <w:ind w:right="158" w:firstLine="851"/>
        <w:jc w:val="both"/>
      </w:pPr>
      <w:r>
        <w:rPr>
          <w:rFonts w:ascii="Arial" w:eastAsia="Arial" w:hAnsi="Arial" w:cs="Arial"/>
          <w:b/>
          <w:sz w:val="17"/>
        </w:rPr>
        <w:t>–</w:t>
      </w:r>
      <w:r>
        <w:rPr>
          <w:rFonts w:ascii="Arial" w:eastAsia="Arial" w:hAnsi="Arial" w:cs="Arial"/>
          <w:sz w:val="17"/>
        </w:rPr>
        <w:t xml:space="preserve"> imóveis que sejam objetos de programas de regularização edilícia promovida pelo Estado ou Município, mediante Assistência Técnica de Habitação de Interesse Social (ATHIS) ou similar, com área construída de até 100m², com ações voltadas para o Direito à Ci</w:t>
      </w:r>
      <w:r>
        <w:rPr>
          <w:rFonts w:ascii="Arial" w:eastAsia="Arial" w:hAnsi="Arial" w:cs="Arial"/>
          <w:sz w:val="17"/>
        </w:rPr>
        <w:t xml:space="preserve">dade e, principalmente, aquelas destinadas à conquista da moradia digna. </w:t>
      </w:r>
    </w:p>
    <w:p w:rsidR="00803937" w:rsidRDefault="00516FD1">
      <w:pPr>
        <w:spacing w:after="0" w:line="243" w:lineRule="auto"/>
        <w:ind w:left="4819"/>
        <w:jc w:val="center"/>
      </w:pPr>
      <w:r>
        <w:rPr>
          <w:rFonts w:ascii="Arial" w:eastAsia="Arial" w:hAnsi="Arial" w:cs="Arial"/>
          <w:b/>
          <w:sz w:val="12"/>
        </w:rPr>
        <w:t xml:space="preserve"> </w:t>
      </w:r>
      <w:r>
        <w:rPr>
          <w:rFonts w:ascii="Arial" w:eastAsia="Arial" w:hAnsi="Arial" w:cs="Arial"/>
          <w:b/>
          <w:sz w:val="11"/>
        </w:rPr>
        <w:t xml:space="preserve"> </w:t>
      </w:r>
    </w:p>
    <w:p w:rsidR="00803937" w:rsidRDefault="00516FD1">
      <w:pPr>
        <w:spacing w:after="4" w:line="249" w:lineRule="auto"/>
        <w:ind w:left="-15" w:firstLine="851"/>
        <w:jc w:val="both"/>
      </w:pPr>
      <w:r>
        <w:rPr>
          <w:rFonts w:ascii="Arial" w:eastAsia="Arial" w:hAnsi="Arial" w:cs="Arial"/>
          <w:b/>
          <w:sz w:val="17"/>
        </w:rPr>
        <w:t>Art. 16.</w:t>
      </w:r>
      <w:r>
        <w:rPr>
          <w:rFonts w:ascii="Arial" w:eastAsia="Arial" w:hAnsi="Arial" w:cs="Arial"/>
          <w:sz w:val="17"/>
        </w:rPr>
        <w:t xml:space="preserve"> O Poder Executivo regulamentará esta Lei no que couber. </w:t>
      </w:r>
    </w:p>
    <w:p w:rsidR="00803937" w:rsidRDefault="00516FD1">
      <w:pPr>
        <w:spacing w:after="0"/>
        <w:ind w:left="851"/>
      </w:pPr>
      <w:r>
        <w:rPr>
          <w:rFonts w:ascii="Arial" w:eastAsia="Arial" w:hAnsi="Arial" w:cs="Arial"/>
          <w:sz w:val="17"/>
        </w:rPr>
        <w:t xml:space="preserve"> </w:t>
      </w:r>
    </w:p>
    <w:p w:rsidR="00803937" w:rsidRDefault="00516FD1">
      <w:pPr>
        <w:spacing w:after="4" w:line="249" w:lineRule="auto"/>
        <w:ind w:left="-15" w:firstLine="851"/>
        <w:jc w:val="both"/>
      </w:pPr>
      <w:r>
        <w:rPr>
          <w:rFonts w:ascii="Arial" w:eastAsia="Arial" w:hAnsi="Arial" w:cs="Arial"/>
          <w:b/>
          <w:sz w:val="17"/>
        </w:rPr>
        <w:t>Art. 17.</w:t>
      </w:r>
      <w:r>
        <w:rPr>
          <w:rFonts w:ascii="Arial" w:eastAsia="Arial" w:hAnsi="Arial" w:cs="Arial"/>
          <w:sz w:val="17"/>
        </w:rPr>
        <w:t xml:space="preserve"> Esta Lei Complementar entra em vigor na data de sua publicação. </w:t>
      </w:r>
    </w:p>
    <w:p w:rsidR="00803937" w:rsidRDefault="00516FD1">
      <w:pPr>
        <w:spacing w:after="0"/>
        <w:ind w:left="37"/>
        <w:jc w:val="center"/>
      </w:pPr>
      <w:r>
        <w:rPr>
          <w:rFonts w:ascii="Arial" w:eastAsia="Arial" w:hAnsi="Arial" w:cs="Arial"/>
          <w:sz w:val="17"/>
        </w:rPr>
        <w:t xml:space="preserve"> </w:t>
      </w:r>
    </w:p>
    <w:p w:rsidR="00803937" w:rsidRDefault="00516FD1">
      <w:pPr>
        <w:spacing w:after="1118" w:line="1083" w:lineRule="auto"/>
        <w:ind w:left="10" w:right="3" w:hanging="10"/>
        <w:jc w:val="center"/>
      </w:pPr>
      <w:r>
        <w:rPr>
          <w:rFonts w:ascii="Arial" w:eastAsia="Arial" w:hAnsi="Arial" w:cs="Arial"/>
          <w:sz w:val="17"/>
        </w:rPr>
        <w:t xml:space="preserve">Manaus, 06 de janeiro de 2026. </w:t>
      </w:r>
    </w:p>
    <w:p w:rsidR="00803937" w:rsidRDefault="00516FD1">
      <w:pPr>
        <w:spacing w:after="17"/>
      </w:pPr>
      <w:r>
        <w:rPr>
          <w:rFonts w:ascii="Arial" w:eastAsia="Arial" w:hAnsi="Arial" w:cs="Arial"/>
          <w:sz w:val="7"/>
        </w:rPr>
        <w:t xml:space="preserve"> </w:t>
      </w:r>
      <w:r>
        <w:rPr>
          <w:rFonts w:ascii="Arial" w:eastAsia="Arial" w:hAnsi="Arial" w:cs="Arial"/>
          <w:sz w:val="7"/>
        </w:rPr>
        <w:tab/>
      </w:r>
      <w:r>
        <w:rPr>
          <w:rFonts w:ascii="Arial" w:eastAsia="Arial" w:hAnsi="Arial" w:cs="Arial"/>
          <w:sz w:val="17"/>
        </w:rPr>
        <w:t xml:space="preserve"> </w:t>
      </w:r>
    </w:p>
    <w:p w:rsidR="00803937" w:rsidRDefault="00516FD1">
      <w:pPr>
        <w:spacing w:after="0"/>
        <w:ind w:left="10" w:right="2" w:hanging="10"/>
        <w:jc w:val="center"/>
      </w:pPr>
      <w:r>
        <w:rPr>
          <w:rFonts w:ascii="Arial" w:eastAsia="Arial" w:hAnsi="Arial" w:cs="Arial"/>
          <w:b/>
          <w:sz w:val="17"/>
        </w:rPr>
        <w:t xml:space="preserve">ANEXO ÚNICO  </w:t>
      </w:r>
    </w:p>
    <w:p w:rsidR="00803937" w:rsidRDefault="00516FD1">
      <w:pPr>
        <w:spacing w:after="0"/>
        <w:ind w:left="28"/>
        <w:jc w:val="center"/>
      </w:pPr>
      <w:r>
        <w:rPr>
          <w:rFonts w:ascii="Arial" w:eastAsia="Arial" w:hAnsi="Arial" w:cs="Arial"/>
          <w:b/>
          <w:sz w:val="13"/>
        </w:rPr>
        <w:t xml:space="preserve"> </w:t>
      </w:r>
    </w:p>
    <w:tbl>
      <w:tblPr>
        <w:tblStyle w:val="TableGrid"/>
        <w:tblW w:w="4536" w:type="dxa"/>
        <w:tblInd w:w="0" w:type="dxa"/>
        <w:tblCellMar>
          <w:top w:w="32" w:type="dxa"/>
          <w:left w:w="27" w:type="dxa"/>
          <w:bottom w:w="0" w:type="dxa"/>
          <w:right w:w="0" w:type="dxa"/>
        </w:tblCellMar>
        <w:tblLook w:val="04A0" w:firstRow="1" w:lastRow="0" w:firstColumn="1" w:lastColumn="0" w:noHBand="0" w:noVBand="1"/>
      </w:tblPr>
      <w:tblGrid>
        <w:gridCol w:w="441"/>
        <w:gridCol w:w="1264"/>
        <w:gridCol w:w="1670"/>
        <w:gridCol w:w="1161"/>
      </w:tblGrid>
      <w:tr w:rsidR="00803937">
        <w:trPr>
          <w:trHeight w:val="160"/>
        </w:trPr>
        <w:tc>
          <w:tcPr>
            <w:tcW w:w="4536" w:type="dxa"/>
            <w:gridSpan w:val="4"/>
            <w:tcBorders>
              <w:top w:val="single" w:sz="4" w:space="0" w:color="000000"/>
              <w:left w:val="single" w:sz="4" w:space="0" w:color="000000"/>
              <w:bottom w:val="single" w:sz="4" w:space="0" w:color="000000"/>
              <w:right w:val="single" w:sz="4" w:space="0" w:color="000000"/>
            </w:tcBorders>
          </w:tcPr>
          <w:p w:rsidR="00803937" w:rsidRDefault="00516FD1">
            <w:pPr>
              <w:spacing w:after="0"/>
              <w:ind w:right="25"/>
              <w:jc w:val="center"/>
            </w:pPr>
            <w:r>
              <w:rPr>
                <w:rFonts w:ascii="Arial" w:eastAsia="Arial" w:hAnsi="Arial" w:cs="Arial"/>
                <w:b/>
                <w:sz w:val="13"/>
              </w:rPr>
              <w:t xml:space="preserve">QUADRO DE ÍNDICE DE COMPENSAÇÃO </w:t>
            </w:r>
          </w:p>
        </w:tc>
      </w:tr>
      <w:tr w:rsidR="00803937">
        <w:trPr>
          <w:trHeight w:val="308"/>
        </w:trPr>
        <w:tc>
          <w:tcPr>
            <w:tcW w:w="445"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left="69"/>
            </w:pPr>
            <w:r>
              <w:rPr>
                <w:rFonts w:ascii="Arial" w:eastAsia="Arial" w:hAnsi="Arial" w:cs="Arial"/>
                <w:b/>
                <w:sz w:val="13"/>
              </w:rPr>
              <w:t xml:space="preserve">ITEM </w:t>
            </w:r>
          </w:p>
        </w:tc>
        <w:tc>
          <w:tcPr>
            <w:tcW w:w="1267"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29"/>
              <w:jc w:val="center"/>
            </w:pPr>
            <w:r>
              <w:rPr>
                <w:rFonts w:ascii="Arial" w:eastAsia="Arial" w:hAnsi="Arial" w:cs="Arial"/>
                <w:b/>
                <w:sz w:val="13"/>
              </w:rPr>
              <w:t xml:space="preserve">IRREGULARIDADE </w:t>
            </w:r>
          </w:p>
        </w:tc>
        <w:tc>
          <w:tcPr>
            <w:tcW w:w="173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left="45"/>
            </w:pPr>
            <w:r>
              <w:rPr>
                <w:rFonts w:ascii="Arial" w:eastAsia="Arial" w:hAnsi="Arial" w:cs="Arial"/>
                <w:b/>
                <w:sz w:val="13"/>
              </w:rPr>
              <w:t xml:space="preserve">CÁLCULO DA COMPENSAÇÃO </w:t>
            </w:r>
          </w:p>
        </w:tc>
        <w:tc>
          <w:tcPr>
            <w:tcW w:w="109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26"/>
              <w:jc w:val="center"/>
            </w:pPr>
            <w:r>
              <w:rPr>
                <w:rFonts w:ascii="Arial" w:eastAsia="Arial" w:hAnsi="Arial" w:cs="Arial"/>
                <w:b/>
                <w:sz w:val="13"/>
              </w:rPr>
              <w:t xml:space="preserve">ÍNDICE DE </w:t>
            </w:r>
          </w:p>
          <w:p w:rsidR="00803937" w:rsidRDefault="00516FD1">
            <w:pPr>
              <w:spacing w:after="0"/>
              <w:ind w:left="93"/>
            </w:pPr>
            <w:r>
              <w:rPr>
                <w:rFonts w:ascii="Arial" w:eastAsia="Arial" w:hAnsi="Arial" w:cs="Arial"/>
                <w:b/>
                <w:sz w:val="13"/>
              </w:rPr>
              <w:t xml:space="preserve">COMPENSAÇÃO </w:t>
            </w:r>
          </w:p>
        </w:tc>
      </w:tr>
      <w:tr w:rsidR="00803937">
        <w:trPr>
          <w:trHeight w:val="160"/>
        </w:trPr>
        <w:tc>
          <w:tcPr>
            <w:tcW w:w="445"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27"/>
              <w:jc w:val="center"/>
            </w:pPr>
            <w:r>
              <w:rPr>
                <w:rFonts w:ascii="Arial" w:eastAsia="Arial" w:hAnsi="Arial" w:cs="Arial"/>
                <w:sz w:val="13"/>
              </w:rPr>
              <w:t xml:space="preserve">1 </w:t>
            </w:r>
          </w:p>
        </w:tc>
        <w:tc>
          <w:tcPr>
            <w:tcW w:w="1267"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left="14"/>
              <w:jc w:val="both"/>
            </w:pPr>
            <w:r>
              <w:rPr>
                <w:rFonts w:ascii="Arial" w:eastAsia="Arial" w:hAnsi="Arial" w:cs="Arial"/>
                <w:sz w:val="13"/>
              </w:rPr>
              <w:t xml:space="preserve">Falta de área permeável. </w:t>
            </w:r>
          </w:p>
        </w:tc>
        <w:tc>
          <w:tcPr>
            <w:tcW w:w="1732" w:type="dxa"/>
            <w:tcBorders>
              <w:top w:val="single" w:sz="4" w:space="0" w:color="000000"/>
              <w:left w:val="single" w:sz="4" w:space="0" w:color="000000"/>
              <w:bottom w:val="single" w:sz="4" w:space="0" w:color="000000"/>
              <w:right w:val="single" w:sz="4" w:space="0" w:color="000000"/>
            </w:tcBorders>
          </w:tcPr>
          <w:p w:rsidR="00803937" w:rsidRDefault="00516FD1">
            <w:pPr>
              <w:spacing w:after="0"/>
            </w:pPr>
            <w:r>
              <w:rPr>
                <w:rFonts w:ascii="Arial" w:eastAsia="Arial" w:hAnsi="Arial" w:cs="Arial"/>
                <w:sz w:val="13"/>
              </w:rPr>
              <w:t xml:space="preserve">Incidirá sobre a área faltante. </w:t>
            </w:r>
          </w:p>
        </w:tc>
        <w:tc>
          <w:tcPr>
            <w:tcW w:w="109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28"/>
              <w:jc w:val="center"/>
            </w:pPr>
            <w:r>
              <w:rPr>
                <w:rFonts w:ascii="Arial" w:eastAsia="Arial" w:hAnsi="Arial" w:cs="Arial"/>
                <w:sz w:val="13"/>
              </w:rPr>
              <w:t xml:space="preserve">0,30 </w:t>
            </w:r>
          </w:p>
        </w:tc>
      </w:tr>
      <w:tr w:rsidR="00803937">
        <w:trPr>
          <w:trHeight w:val="457"/>
        </w:trPr>
        <w:tc>
          <w:tcPr>
            <w:tcW w:w="445"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27"/>
              <w:jc w:val="center"/>
            </w:pPr>
            <w:r>
              <w:rPr>
                <w:rFonts w:ascii="Arial" w:eastAsia="Arial" w:hAnsi="Arial" w:cs="Arial"/>
                <w:sz w:val="13"/>
              </w:rPr>
              <w:t xml:space="preserve">2 </w:t>
            </w:r>
          </w:p>
        </w:tc>
        <w:tc>
          <w:tcPr>
            <w:tcW w:w="1267" w:type="dxa"/>
            <w:tcBorders>
              <w:top w:val="single" w:sz="4" w:space="0" w:color="000000"/>
              <w:left w:val="single" w:sz="4" w:space="0" w:color="000000"/>
              <w:bottom w:val="single" w:sz="4" w:space="0" w:color="000000"/>
              <w:right w:val="single" w:sz="4" w:space="0" w:color="000000"/>
            </w:tcBorders>
          </w:tcPr>
          <w:p w:rsidR="00803937" w:rsidRDefault="00516FD1">
            <w:pPr>
              <w:spacing w:after="0"/>
              <w:jc w:val="center"/>
            </w:pPr>
            <w:r>
              <w:rPr>
                <w:rFonts w:ascii="Arial" w:eastAsia="Arial" w:hAnsi="Arial" w:cs="Arial"/>
                <w:sz w:val="13"/>
              </w:rPr>
              <w:t xml:space="preserve">Falta de vaga de estacionamento / garagem. </w:t>
            </w:r>
          </w:p>
        </w:tc>
        <w:tc>
          <w:tcPr>
            <w:tcW w:w="1732"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left="1"/>
            </w:pPr>
            <w:r>
              <w:rPr>
                <w:rFonts w:ascii="Arial" w:eastAsia="Arial" w:hAnsi="Arial" w:cs="Arial"/>
                <w:sz w:val="13"/>
              </w:rPr>
              <w:t xml:space="preserve">12,50m² por vaga. </w:t>
            </w:r>
          </w:p>
        </w:tc>
        <w:tc>
          <w:tcPr>
            <w:tcW w:w="1092"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27"/>
              <w:jc w:val="center"/>
            </w:pPr>
            <w:r>
              <w:rPr>
                <w:rFonts w:ascii="Arial" w:eastAsia="Arial" w:hAnsi="Arial" w:cs="Arial"/>
                <w:sz w:val="13"/>
              </w:rPr>
              <w:t xml:space="preserve">0,20 </w:t>
            </w:r>
          </w:p>
        </w:tc>
      </w:tr>
      <w:tr w:rsidR="00803937">
        <w:trPr>
          <w:trHeight w:val="606"/>
        </w:trPr>
        <w:tc>
          <w:tcPr>
            <w:tcW w:w="445"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27"/>
              <w:jc w:val="center"/>
            </w:pPr>
            <w:r>
              <w:rPr>
                <w:rFonts w:ascii="Arial" w:eastAsia="Arial" w:hAnsi="Arial" w:cs="Arial"/>
                <w:sz w:val="13"/>
              </w:rPr>
              <w:t xml:space="preserve">3 </w:t>
            </w:r>
          </w:p>
        </w:tc>
        <w:tc>
          <w:tcPr>
            <w:tcW w:w="1267" w:type="dxa"/>
            <w:tcBorders>
              <w:top w:val="single" w:sz="4" w:space="0" w:color="000000"/>
              <w:left w:val="single" w:sz="4" w:space="0" w:color="000000"/>
              <w:bottom w:val="single" w:sz="4" w:space="0" w:color="000000"/>
              <w:right w:val="single" w:sz="4" w:space="0" w:color="000000"/>
            </w:tcBorders>
          </w:tcPr>
          <w:p w:rsidR="00803937" w:rsidRDefault="00516FD1">
            <w:pPr>
              <w:spacing w:after="0"/>
              <w:jc w:val="center"/>
            </w:pPr>
            <w:r>
              <w:rPr>
                <w:rFonts w:ascii="Arial" w:eastAsia="Arial" w:hAnsi="Arial" w:cs="Arial"/>
                <w:sz w:val="13"/>
              </w:rPr>
              <w:t xml:space="preserve">Edificação avança sobre recuo frontal, lateral e fundos. </w:t>
            </w:r>
          </w:p>
        </w:tc>
        <w:tc>
          <w:tcPr>
            <w:tcW w:w="173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left="1" w:right="29"/>
              <w:jc w:val="both"/>
            </w:pPr>
            <w:r>
              <w:rPr>
                <w:rFonts w:ascii="Arial" w:eastAsia="Arial" w:hAnsi="Arial" w:cs="Arial"/>
                <w:sz w:val="13"/>
              </w:rPr>
              <w:t xml:space="preserve">Incidirá sobre a área construída que esteja sobre os recuos, multiplicado pelo número de pavimentos. </w:t>
            </w:r>
          </w:p>
        </w:tc>
        <w:tc>
          <w:tcPr>
            <w:tcW w:w="1092" w:type="dxa"/>
            <w:vMerge w:val="restart"/>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27"/>
              <w:jc w:val="center"/>
            </w:pPr>
            <w:r>
              <w:rPr>
                <w:rFonts w:ascii="Arial" w:eastAsia="Arial" w:hAnsi="Arial" w:cs="Arial"/>
                <w:sz w:val="13"/>
              </w:rPr>
              <w:t xml:space="preserve">0,10 </w:t>
            </w:r>
          </w:p>
        </w:tc>
      </w:tr>
      <w:tr w:rsidR="00803937">
        <w:trPr>
          <w:trHeight w:val="607"/>
        </w:trPr>
        <w:tc>
          <w:tcPr>
            <w:tcW w:w="445"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ind w:right="27"/>
              <w:jc w:val="center"/>
            </w:pPr>
            <w:r>
              <w:rPr>
                <w:rFonts w:ascii="Arial" w:eastAsia="Arial" w:hAnsi="Arial" w:cs="Arial"/>
                <w:sz w:val="13"/>
              </w:rPr>
              <w:t xml:space="preserve">4 </w:t>
            </w:r>
          </w:p>
        </w:tc>
        <w:tc>
          <w:tcPr>
            <w:tcW w:w="1267" w:type="dxa"/>
            <w:tcBorders>
              <w:top w:val="single" w:sz="4" w:space="0" w:color="000000"/>
              <w:left w:val="single" w:sz="4" w:space="0" w:color="000000"/>
              <w:bottom w:val="single" w:sz="4" w:space="0" w:color="000000"/>
              <w:right w:val="single" w:sz="4" w:space="0" w:color="000000"/>
            </w:tcBorders>
            <w:vAlign w:val="center"/>
          </w:tcPr>
          <w:p w:rsidR="00803937" w:rsidRDefault="00516FD1">
            <w:pPr>
              <w:spacing w:after="0"/>
              <w:jc w:val="center"/>
            </w:pPr>
            <w:r>
              <w:rPr>
                <w:rFonts w:ascii="Arial" w:eastAsia="Arial" w:hAnsi="Arial" w:cs="Arial"/>
                <w:sz w:val="13"/>
              </w:rPr>
              <w:t xml:space="preserve">Recuo entre edificações não atende </w:t>
            </w:r>
          </w:p>
        </w:tc>
        <w:tc>
          <w:tcPr>
            <w:tcW w:w="173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left="1" w:right="29"/>
              <w:jc w:val="both"/>
            </w:pPr>
            <w:r>
              <w:rPr>
                <w:rFonts w:ascii="Arial" w:eastAsia="Arial" w:hAnsi="Arial" w:cs="Arial"/>
                <w:sz w:val="13"/>
              </w:rPr>
              <w:t xml:space="preserve">Incidirá sobre a área construída que esteja sobre o recuo, multiplicado pelo número de pavimentos. </w:t>
            </w:r>
          </w:p>
        </w:tc>
        <w:tc>
          <w:tcPr>
            <w:tcW w:w="0" w:type="auto"/>
            <w:vMerge/>
            <w:tcBorders>
              <w:top w:val="nil"/>
              <w:left w:val="single" w:sz="4" w:space="0" w:color="000000"/>
              <w:bottom w:val="nil"/>
              <w:right w:val="single" w:sz="4" w:space="0" w:color="000000"/>
            </w:tcBorders>
          </w:tcPr>
          <w:p w:rsidR="00803937" w:rsidRDefault="00803937"/>
        </w:tc>
      </w:tr>
      <w:tr w:rsidR="00803937">
        <w:trPr>
          <w:trHeight w:val="308"/>
        </w:trPr>
        <w:tc>
          <w:tcPr>
            <w:tcW w:w="445"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right="27"/>
              <w:jc w:val="center"/>
            </w:pPr>
            <w:r>
              <w:rPr>
                <w:rFonts w:ascii="Arial" w:eastAsia="Arial" w:hAnsi="Arial" w:cs="Arial"/>
                <w:sz w:val="13"/>
              </w:rPr>
              <w:t xml:space="preserve">5 </w:t>
            </w:r>
          </w:p>
        </w:tc>
        <w:tc>
          <w:tcPr>
            <w:tcW w:w="1267" w:type="dxa"/>
            <w:tcBorders>
              <w:top w:val="single" w:sz="4" w:space="0" w:color="000000"/>
              <w:left w:val="single" w:sz="4" w:space="0" w:color="000000"/>
              <w:bottom w:val="single" w:sz="4" w:space="0" w:color="000000"/>
              <w:right w:val="single" w:sz="4" w:space="0" w:color="000000"/>
            </w:tcBorders>
          </w:tcPr>
          <w:p w:rsidR="00803937" w:rsidRDefault="00516FD1">
            <w:pPr>
              <w:spacing w:after="0"/>
              <w:jc w:val="center"/>
            </w:pPr>
            <w:r>
              <w:rPr>
                <w:rFonts w:ascii="Arial" w:eastAsia="Arial" w:hAnsi="Arial" w:cs="Arial"/>
                <w:sz w:val="13"/>
              </w:rPr>
              <w:t xml:space="preserve">Excede o gabarito permitido. </w:t>
            </w:r>
          </w:p>
        </w:tc>
        <w:tc>
          <w:tcPr>
            <w:tcW w:w="1732" w:type="dxa"/>
            <w:tcBorders>
              <w:top w:val="single" w:sz="4" w:space="0" w:color="000000"/>
              <w:left w:val="single" w:sz="4" w:space="0" w:color="000000"/>
              <w:bottom w:val="single" w:sz="4" w:space="0" w:color="000000"/>
              <w:right w:val="single" w:sz="4" w:space="0" w:color="000000"/>
            </w:tcBorders>
          </w:tcPr>
          <w:p w:rsidR="00803937" w:rsidRDefault="00516FD1">
            <w:pPr>
              <w:spacing w:after="0"/>
              <w:ind w:left="1"/>
              <w:jc w:val="both"/>
            </w:pPr>
            <w:r>
              <w:rPr>
                <w:rFonts w:ascii="Arial" w:eastAsia="Arial" w:hAnsi="Arial" w:cs="Arial"/>
                <w:sz w:val="13"/>
              </w:rPr>
              <w:t xml:space="preserve">Incidirá sobre a área total construída do pavimento excedido. </w:t>
            </w:r>
          </w:p>
        </w:tc>
        <w:tc>
          <w:tcPr>
            <w:tcW w:w="0" w:type="auto"/>
            <w:vMerge/>
            <w:tcBorders>
              <w:top w:val="nil"/>
              <w:left w:val="single" w:sz="4" w:space="0" w:color="000000"/>
              <w:bottom w:val="single" w:sz="4" w:space="0" w:color="000000"/>
              <w:right w:val="single" w:sz="4" w:space="0" w:color="000000"/>
            </w:tcBorders>
          </w:tcPr>
          <w:p w:rsidR="00803937" w:rsidRDefault="00803937"/>
        </w:tc>
      </w:tr>
    </w:tbl>
    <w:p w:rsidR="00803937" w:rsidRDefault="00516FD1">
      <w:pPr>
        <w:spacing w:after="0"/>
      </w:pPr>
      <w:r>
        <w:rPr>
          <w:rFonts w:ascii="Arial" w:eastAsia="Arial" w:hAnsi="Arial" w:cs="Arial"/>
          <w:sz w:val="17"/>
        </w:rPr>
        <w:t xml:space="preserve"> </w:t>
      </w:r>
    </w:p>
    <w:p w:rsidR="00803937" w:rsidRDefault="00516FD1">
      <w:pPr>
        <w:spacing w:after="0"/>
      </w:pPr>
      <w:r>
        <w:rPr>
          <w:rFonts w:ascii="Arial" w:eastAsia="Arial" w:hAnsi="Arial" w:cs="Arial"/>
          <w:sz w:val="17"/>
        </w:rPr>
        <w:t xml:space="preserve"> </w:t>
      </w:r>
    </w:p>
    <w:p w:rsidR="00803937" w:rsidRDefault="00516FD1">
      <w:pPr>
        <w:spacing w:after="0"/>
      </w:pPr>
      <w:r>
        <w:rPr>
          <w:rFonts w:ascii="Arial" w:eastAsia="Arial" w:hAnsi="Arial" w:cs="Arial"/>
          <w:sz w:val="17"/>
        </w:rPr>
        <w:t xml:space="preserve"> </w:t>
      </w:r>
    </w:p>
    <w:p w:rsidR="00803937" w:rsidRDefault="00516FD1">
      <w:pPr>
        <w:spacing w:after="0"/>
      </w:pPr>
      <w:r>
        <w:rPr>
          <w:rFonts w:ascii="Arial" w:eastAsia="Arial" w:hAnsi="Arial" w:cs="Arial"/>
          <w:b/>
          <w:sz w:val="17"/>
        </w:rPr>
        <w:t xml:space="preserve"> </w:t>
      </w:r>
    </w:p>
    <w:p w:rsidR="00803937" w:rsidRDefault="00516FD1">
      <w:pPr>
        <w:spacing w:after="0"/>
        <w:ind w:left="10" w:right="3" w:hanging="10"/>
        <w:jc w:val="center"/>
      </w:pPr>
      <w:r>
        <w:rPr>
          <w:rFonts w:ascii="Arial" w:eastAsia="Arial" w:hAnsi="Arial" w:cs="Arial"/>
          <w:b/>
          <w:sz w:val="17"/>
        </w:rPr>
        <w:t xml:space="preserve">LEI N. 3.610, DE 06 DE JANEIRO DE 2026 </w:t>
      </w:r>
    </w:p>
    <w:p w:rsidR="00803937" w:rsidRDefault="00516FD1">
      <w:pPr>
        <w:spacing w:after="0"/>
        <w:ind w:right="452"/>
        <w:jc w:val="right"/>
      </w:pPr>
      <w:r>
        <w:rPr>
          <w:rFonts w:ascii="Arial" w:eastAsia="Arial" w:hAnsi="Arial" w:cs="Arial"/>
          <w:b/>
          <w:sz w:val="17"/>
        </w:rPr>
        <w:t xml:space="preserve">   </w:t>
      </w:r>
    </w:p>
    <w:p w:rsidR="00803937" w:rsidRDefault="00516FD1">
      <w:pPr>
        <w:spacing w:after="4" w:line="249" w:lineRule="auto"/>
        <w:ind w:left="1712" w:hanging="10"/>
        <w:jc w:val="both"/>
      </w:pPr>
      <w:r>
        <w:rPr>
          <w:rFonts w:ascii="Arial" w:eastAsia="Arial" w:hAnsi="Arial" w:cs="Arial"/>
          <w:b/>
          <w:sz w:val="17"/>
        </w:rPr>
        <w:t xml:space="preserve">CONSIDERA </w:t>
      </w:r>
      <w:r>
        <w:rPr>
          <w:rFonts w:ascii="Arial" w:eastAsia="Arial" w:hAnsi="Arial" w:cs="Arial"/>
          <w:sz w:val="17"/>
        </w:rPr>
        <w:t xml:space="preserve">de Utilidade Pública o Instituto Atletas do Pai - IADP. </w:t>
      </w:r>
    </w:p>
    <w:p w:rsidR="00803937" w:rsidRDefault="00516FD1">
      <w:pPr>
        <w:spacing w:after="0"/>
        <w:ind w:right="530"/>
        <w:jc w:val="right"/>
      </w:pPr>
      <w:r>
        <w:rPr>
          <w:rFonts w:ascii="Arial" w:eastAsia="Arial" w:hAnsi="Arial" w:cs="Arial"/>
          <w:sz w:val="17"/>
        </w:rPr>
        <w:t xml:space="preserve"> </w:t>
      </w:r>
    </w:p>
    <w:p w:rsidR="00803937" w:rsidRDefault="00516FD1">
      <w:pPr>
        <w:spacing w:after="4" w:line="249" w:lineRule="auto"/>
        <w:ind w:left="-15" w:firstLine="851"/>
        <w:jc w:val="both"/>
      </w:pPr>
      <w:r>
        <w:rPr>
          <w:rFonts w:ascii="Arial" w:eastAsia="Arial" w:hAnsi="Arial" w:cs="Arial"/>
          <w:sz w:val="17"/>
        </w:rPr>
        <w:t>O</w:t>
      </w:r>
      <w:r>
        <w:rPr>
          <w:rFonts w:ascii="Arial" w:eastAsia="Arial" w:hAnsi="Arial" w:cs="Arial"/>
          <w:b/>
          <w:sz w:val="17"/>
        </w:rPr>
        <w:t xml:space="preserve"> PREFEITO DE MANAUS</w:t>
      </w:r>
      <w:r>
        <w:rPr>
          <w:rFonts w:ascii="Arial" w:eastAsia="Arial" w:hAnsi="Arial" w:cs="Arial"/>
          <w:sz w:val="17"/>
        </w:rPr>
        <w:t xml:space="preserve">, no uso das atribuições que lhe são conferidas pelo art. 80, inc. IV, da Lei Orgânica do Município de </w:t>
      </w:r>
    </w:p>
    <w:p w:rsidR="00803937" w:rsidRDefault="00516FD1">
      <w:pPr>
        <w:spacing w:after="4" w:line="249" w:lineRule="auto"/>
        <w:ind w:left="-5" w:hanging="10"/>
        <w:jc w:val="both"/>
      </w:pPr>
      <w:r>
        <w:rPr>
          <w:rFonts w:ascii="Arial" w:eastAsia="Arial" w:hAnsi="Arial" w:cs="Arial"/>
          <w:sz w:val="17"/>
        </w:rPr>
        <w:t xml:space="preserve">Manaus, </w:t>
      </w:r>
    </w:p>
    <w:p w:rsidR="00803937" w:rsidRDefault="00516FD1">
      <w:pPr>
        <w:spacing w:after="0"/>
      </w:pPr>
      <w:r>
        <w:rPr>
          <w:rFonts w:ascii="Arial" w:eastAsia="Arial" w:hAnsi="Arial" w:cs="Arial"/>
          <w:b/>
          <w:sz w:val="17"/>
        </w:rPr>
        <w:t xml:space="preserve"> </w:t>
      </w:r>
    </w:p>
    <w:p w:rsidR="00803937" w:rsidRDefault="00516FD1">
      <w:pPr>
        <w:spacing w:after="4" w:line="249" w:lineRule="auto"/>
        <w:ind w:left="-15" w:firstLine="851"/>
        <w:jc w:val="both"/>
      </w:pPr>
      <w:r>
        <w:rPr>
          <w:rFonts w:ascii="Arial" w:eastAsia="Arial" w:hAnsi="Arial" w:cs="Arial"/>
          <w:b/>
          <w:sz w:val="17"/>
        </w:rPr>
        <w:t>FAÇO SABER</w:t>
      </w:r>
      <w:r>
        <w:rPr>
          <w:rFonts w:ascii="Arial" w:eastAsia="Arial" w:hAnsi="Arial" w:cs="Arial"/>
          <w:sz w:val="17"/>
        </w:rPr>
        <w:t xml:space="preserve"> que o Poder Legislativo decretou e eu sanciono a seguinte </w:t>
      </w:r>
    </w:p>
    <w:p w:rsidR="00803937" w:rsidRDefault="00516FD1">
      <w:pPr>
        <w:spacing w:after="0"/>
      </w:pPr>
      <w:r>
        <w:rPr>
          <w:rFonts w:ascii="Arial" w:eastAsia="Arial" w:hAnsi="Arial" w:cs="Arial"/>
          <w:b/>
          <w:sz w:val="17"/>
        </w:rPr>
        <w:t xml:space="preserve"> </w:t>
      </w:r>
    </w:p>
    <w:p w:rsidR="00803937" w:rsidRDefault="00516FD1">
      <w:pPr>
        <w:spacing w:after="0"/>
        <w:ind w:left="10" w:right="3" w:hanging="10"/>
        <w:jc w:val="center"/>
      </w:pPr>
      <w:r>
        <w:rPr>
          <w:rFonts w:ascii="Arial" w:eastAsia="Arial" w:hAnsi="Arial" w:cs="Arial"/>
          <w:b/>
          <w:sz w:val="17"/>
        </w:rPr>
        <w:t xml:space="preserve">LEI: </w:t>
      </w:r>
    </w:p>
    <w:p w:rsidR="00803937" w:rsidRDefault="00516FD1">
      <w:pPr>
        <w:spacing w:after="0"/>
      </w:pPr>
      <w:r>
        <w:rPr>
          <w:rFonts w:ascii="Arial" w:eastAsia="Arial" w:hAnsi="Arial" w:cs="Arial"/>
          <w:b/>
          <w:sz w:val="17"/>
        </w:rPr>
        <w:t xml:space="preserve"> </w:t>
      </w:r>
    </w:p>
    <w:p w:rsidR="00803937" w:rsidRDefault="00516FD1">
      <w:pPr>
        <w:spacing w:after="4" w:line="249" w:lineRule="auto"/>
        <w:ind w:left="-15" w:firstLine="851"/>
        <w:jc w:val="both"/>
      </w:pPr>
      <w:r>
        <w:rPr>
          <w:noProof/>
        </w:rPr>
        <mc:AlternateContent>
          <mc:Choice Requires="wpg">
            <w:drawing>
              <wp:anchor distT="0" distB="0" distL="114300" distR="114300" simplePos="0" relativeHeight="251659264" behindDoc="1" locked="0" layoutInCell="1" allowOverlap="1">
                <wp:simplePos x="0" y="0"/>
                <wp:positionH relativeFrom="column">
                  <wp:posOffset>-3238498</wp:posOffset>
                </wp:positionH>
                <wp:positionV relativeFrom="paragraph">
                  <wp:posOffset>-6576782</wp:posOffset>
                </wp:positionV>
                <wp:extent cx="6121146" cy="10193274"/>
                <wp:effectExtent l="0" t="0" r="0" b="0"/>
                <wp:wrapNone/>
                <wp:docPr id="13106" name="Group 13106"/>
                <wp:cNvGraphicFramePr/>
                <a:graphic xmlns:a="http://schemas.openxmlformats.org/drawingml/2006/main">
                  <a:graphicData uri="http://schemas.microsoft.com/office/word/2010/wordprocessingGroup">
                    <wpg:wgp>
                      <wpg:cNvGrpSpPr/>
                      <wpg:grpSpPr>
                        <a:xfrm>
                          <a:off x="0" y="0"/>
                          <a:ext cx="6121146" cy="10193274"/>
                          <a:chOff x="0" y="0"/>
                          <a:chExt cx="6121146" cy="10193274"/>
                        </a:xfrm>
                      </wpg:grpSpPr>
                      <pic:pic xmlns:pic="http://schemas.openxmlformats.org/drawingml/2006/picture">
                        <pic:nvPicPr>
                          <pic:cNvPr id="1154" name="Picture 1154"/>
                          <pic:cNvPicPr/>
                        </pic:nvPicPr>
                        <pic:blipFill>
                          <a:blip r:embed="rId23"/>
                          <a:stretch>
                            <a:fillRect/>
                          </a:stretch>
                        </pic:blipFill>
                        <pic:spPr>
                          <a:xfrm>
                            <a:off x="0" y="0"/>
                            <a:ext cx="6121146" cy="310896"/>
                          </a:xfrm>
                          <a:prstGeom prst="rect">
                            <a:avLst/>
                          </a:prstGeom>
                        </pic:spPr>
                      </pic:pic>
                      <pic:pic xmlns:pic="http://schemas.openxmlformats.org/drawingml/2006/picture">
                        <pic:nvPicPr>
                          <pic:cNvPr id="1156" name="Picture 1156"/>
                          <pic:cNvPicPr/>
                        </pic:nvPicPr>
                        <pic:blipFill>
                          <a:blip r:embed="rId23"/>
                          <a:stretch>
                            <a:fillRect/>
                          </a:stretch>
                        </pic:blipFill>
                        <pic:spPr>
                          <a:xfrm>
                            <a:off x="0" y="9882378"/>
                            <a:ext cx="6121146" cy="310896"/>
                          </a:xfrm>
                          <a:prstGeom prst="rect">
                            <a:avLst/>
                          </a:prstGeom>
                        </pic:spPr>
                      </pic:pic>
                      <pic:pic xmlns:pic="http://schemas.openxmlformats.org/drawingml/2006/picture">
                        <pic:nvPicPr>
                          <pic:cNvPr id="1273" name="Picture 1273"/>
                          <pic:cNvPicPr/>
                        </pic:nvPicPr>
                        <pic:blipFill>
                          <a:blip r:embed="rId24"/>
                          <a:stretch>
                            <a:fillRect/>
                          </a:stretch>
                        </pic:blipFill>
                        <pic:spPr>
                          <a:xfrm>
                            <a:off x="3665220" y="1254253"/>
                            <a:ext cx="2026920" cy="1139952"/>
                          </a:xfrm>
                          <a:prstGeom prst="rect">
                            <a:avLst/>
                          </a:prstGeom>
                        </pic:spPr>
                      </pic:pic>
                      <pic:pic xmlns:pic="http://schemas.openxmlformats.org/drawingml/2006/picture">
                        <pic:nvPicPr>
                          <pic:cNvPr id="1402" name="Picture 1402"/>
                          <pic:cNvPicPr/>
                        </pic:nvPicPr>
                        <pic:blipFill>
                          <a:blip r:embed="rId25"/>
                          <a:stretch>
                            <a:fillRect/>
                          </a:stretch>
                        </pic:blipFill>
                        <pic:spPr>
                          <a:xfrm>
                            <a:off x="3666744" y="8660130"/>
                            <a:ext cx="2023872" cy="1118616"/>
                          </a:xfrm>
                          <a:prstGeom prst="rect">
                            <a:avLst/>
                          </a:prstGeom>
                        </pic:spPr>
                      </pic:pic>
                      <wps:wsp>
                        <wps:cNvPr id="14342" name="Shape 14342"/>
                        <wps:cNvSpPr/>
                        <wps:spPr>
                          <a:xfrm>
                            <a:off x="3054096" y="387097"/>
                            <a:ext cx="9144" cy="9399270"/>
                          </a:xfrm>
                          <a:custGeom>
                            <a:avLst/>
                            <a:gdLst/>
                            <a:ahLst/>
                            <a:cxnLst/>
                            <a:rect l="0" t="0" r="0" b="0"/>
                            <a:pathLst>
                              <a:path w="9144" h="9399270">
                                <a:moveTo>
                                  <a:pt x="0" y="0"/>
                                </a:moveTo>
                                <a:lnTo>
                                  <a:pt x="9144" y="0"/>
                                </a:lnTo>
                                <a:lnTo>
                                  <a:pt x="9144" y="9399270"/>
                                </a:lnTo>
                                <a:lnTo>
                                  <a:pt x="0" y="93992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 name="Shape 1405"/>
                        <wps:cNvSpPr/>
                        <wps:spPr>
                          <a:xfrm>
                            <a:off x="3240024" y="4592575"/>
                            <a:ext cx="2879598" cy="0"/>
                          </a:xfrm>
                          <a:custGeom>
                            <a:avLst/>
                            <a:gdLst/>
                            <a:ahLst/>
                            <a:cxnLst/>
                            <a:rect l="0" t="0" r="0" b="0"/>
                            <a:pathLst>
                              <a:path w="2879598">
                                <a:moveTo>
                                  <a:pt x="0" y="0"/>
                                </a:moveTo>
                                <a:lnTo>
                                  <a:pt x="2879598"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406" name="Rectangle 1406"/>
                        <wps:cNvSpPr/>
                        <wps:spPr>
                          <a:xfrm rot="-2699999">
                            <a:off x="301010" y="6528147"/>
                            <a:ext cx="2298023" cy="865995"/>
                          </a:xfrm>
                          <a:prstGeom prst="rect">
                            <a:avLst/>
                          </a:prstGeom>
                          <a:ln>
                            <a:noFill/>
                          </a:ln>
                        </wps:spPr>
                        <wps:txbx>
                          <w:txbxContent>
                            <w:p w:rsidR="00803937" w:rsidRDefault="00516FD1">
                              <w:r>
                                <w:rPr>
                                  <w:rFonts w:ascii="Arial" w:eastAsia="Arial" w:hAnsi="Arial" w:cs="Arial"/>
                                  <w:b/>
                                  <w:sz w:val="100"/>
                                </w:rPr>
                                <w:t xml:space="preserve">SEM </w:t>
                              </w:r>
                            </w:p>
                          </w:txbxContent>
                        </wps:txbx>
                        <wps:bodyPr horzOverflow="overflow" vert="horz" lIns="0" tIns="0" rIns="0" bIns="0" rtlCol="0">
                          <a:noAutofit/>
                        </wps:bodyPr>
                      </wps:wsp>
                      <wps:wsp>
                        <wps:cNvPr id="1407" name="Rectangle 1407"/>
                        <wps:cNvSpPr/>
                        <wps:spPr>
                          <a:xfrm rot="-2699999">
                            <a:off x="1344237" y="4874310"/>
                            <a:ext cx="3519243" cy="865995"/>
                          </a:xfrm>
                          <a:prstGeom prst="rect">
                            <a:avLst/>
                          </a:prstGeom>
                          <a:ln>
                            <a:noFill/>
                          </a:ln>
                        </wps:spPr>
                        <wps:txbx>
                          <w:txbxContent>
                            <w:p w:rsidR="00803937" w:rsidRDefault="00516FD1">
                              <w:r>
                                <w:rPr>
                                  <w:rFonts w:ascii="Arial" w:eastAsia="Arial" w:hAnsi="Arial" w:cs="Arial"/>
                                  <w:b/>
                                  <w:sz w:val="100"/>
                                </w:rPr>
                                <w:t xml:space="preserve">VALOR </w:t>
                              </w:r>
                            </w:p>
                          </w:txbxContent>
                        </wps:txbx>
                        <wps:bodyPr horzOverflow="overflow" vert="horz" lIns="0" tIns="0" rIns="0" bIns="0" rtlCol="0">
                          <a:noAutofit/>
                        </wps:bodyPr>
                      </wps:wsp>
                      <wps:wsp>
                        <wps:cNvPr id="1408" name="Rectangle 1408"/>
                        <wps:cNvSpPr/>
                        <wps:spPr>
                          <a:xfrm rot="-2699999">
                            <a:off x="3173966" y="2903541"/>
                            <a:ext cx="3801323" cy="865995"/>
                          </a:xfrm>
                          <a:prstGeom prst="rect">
                            <a:avLst/>
                          </a:prstGeom>
                          <a:ln>
                            <a:noFill/>
                          </a:ln>
                        </wps:spPr>
                        <wps:txbx>
                          <w:txbxContent>
                            <w:p w:rsidR="00803937" w:rsidRDefault="00516FD1">
                              <w:r>
                                <w:rPr>
                                  <w:rFonts w:ascii="Arial" w:eastAsia="Arial" w:hAnsi="Arial" w:cs="Arial"/>
                                  <w:b/>
                                  <w:sz w:val="100"/>
                                </w:rPr>
                                <w:t>OFICIAL</w:t>
                              </w:r>
                            </w:p>
                          </w:txbxContent>
                        </wps:txbx>
                        <wps:bodyPr horzOverflow="overflow" vert="horz" lIns="0" tIns="0" rIns="0" bIns="0" rtlCol="0">
                          <a:noAutofit/>
                        </wps:bodyPr>
                      </wps:wsp>
                    </wpg:wgp>
                  </a:graphicData>
                </a:graphic>
              </wp:anchor>
            </w:drawing>
          </mc:Choice>
          <mc:Fallback xmlns:a="http://schemas.openxmlformats.org/drawingml/2006/main">
            <w:pict>
              <v:group id="Group 13106" style="width:481.98pt;height:802.62pt;position:absolute;z-index:-2147483399;mso-position-horizontal-relative:text;mso-position-horizontal:absolute;margin-left:-255pt;mso-position-vertical-relative:text;margin-top:-517.857pt;" coordsize="61211,101932">
                <v:shape id="Picture 1154" style="position:absolute;width:61211;height:3108;left:0;top:0;" filled="f">
                  <v:imagedata r:id="rId26"/>
                </v:shape>
                <v:shape id="Picture 1156" style="position:absolute;width:61211;height:3108;left:0;top:98823;" filled="f">
                  <v:imagedata r:id="rId26"/>
                </v:shape>
                <v:shape id="Picture 1273" style="position:absolute;width:20269;height:11399;left:36652;top:12542;" filled="f">
                  <v:imagedata r:id="rId27"/>
                </v:shape>
                <v:shape id="Picture 1402" style="position:absolute;width:20238;height:11186;left:36667;top:86601;" filled="f">
                  <v:imagedata r:id="rId28"/>
                </v:shape>
                <v:shape id="Shape 14343" style="position:absolute;width:91;height:93992;left:30540;top:3870;" coordsize="9144,9399270" path="m0,0l9144,0l9144,9399270l0,9399270l0,0">
                  <v:stroke weight="0pt" endcap="flat" joinstyle="miter" miterlimit="10" on="false" color="#000000" opacity="0"/>
                  <v:fill on="true" color="#000000"/>
                </v:shape>
                <v:shape id="Shape 1405" style="position:absolute;width:28795;height:0;left:32400;top:45925;" coordsize="2879598,0" path="m0,0l2879598,0">
                  <v:stroke weight="1.5pt" endcap="flat" joinstyle="round" on="true" color="#000000"/>
                  <v:fill on="false" color="#000000" opacity="0"/>
                </v:shape>
                <v:rect id="Rectangle 1406" style="position:absolute;width:22980;height:8659;left:3010;top:65281;" filled="f" stroked="f">
                  <v:textbox inset="0,0,0,0">
                    <w:txbxContent>
                      <w:p>
                        <w:pPr>
                          <w:spacing w:before="0" w:after="160" w:line="259" w:lineRule="auto"/>
                        </w:pPr>
                        <w:r>
                          <w:rPr>
                            <w:rFonts w:cs="Arial" w:hAnsi="Arial" w:eastAsia="Arial" w:ascii="Arial"/>
                            <w:b w:val="1"/>
                            <w:color w:val="000000"/>
                            <w:sz w:val="100"/>
                          </w:rPr>
                          <w:t xml:space="preserve">SEM </w:t>
                        </w:r>
                      </w:p>
                    </w:txbxContent>
                  </v:textbox>
                </v:rect>
                <v:rect id="Rectangle 1407" style="position:absolute;width:35192;height:8659;left:13442;top:48743;" filled="f" stroked="f">
                  <v:textbox inset="0,0,0,0">
                    <w:txbxContent>
                      <w:p>
                        <w:pPr>
                          <w:spacing w:before="0" w:after="160" w:line="259" w:lineRule="auto"/>
                        </w:pPr>
                        <w:r>
                          <w:rPr>
                            <w:rFonts w:cs="Arial" w:hAnsi="Arial" w:eastAsia="Arial" w:ascii="Arial"/>
                            <w:b w:val="1"/>
                            <w:color w:val="000000"/>
                            <w:sz w:val="100"/>
                          </w:rPr>
                          <w:t xml:space="preserve">VALOR </w:t>
                        </w:r>
                      </w:p>
                    </w:txbxContent>
                  </v:textbox>
                </v:rect>
                <v:rect id="Rectangle 1408" style="position:absolute;width:38013;height:8659;left:31739;top:29035;" filled="f" stroked="f">
                  <v:textbox inset="0,0,0,0">
                    <w:txbxContent>
                      <w:p>
                        <w:pPr>
                          <w:spacing w:before="0" w:after="160" w:line="259" w:lineRule="auto"/>
                        </w:pPr>
                        <w:r>
                          <w:rPr>
                            <w:rFonts w:cs="Arial" w:hAnsi="Arial" w:eastAsia="Arial" w:ascii="Arial"/>
                            <w:b w:val="1"/>
                            <w:color w:val="000000"/>
                            <w:sz w:val="100"/>
                          </w:rPr>
                          <w:t xml:space="preserve">OFICIAL</w:t>
                        </w:r>
                      </w:p>
                    </w:txbxContent>
                  </v:textbox>
                </v:rect>
              </v:group>
            </w:pict>
          </mc:Fallback>
        </mc:AlternateContent>
      </w:r>
      <w:r>
        <w:rPr>
          <w:rFonts w:ascii="Arial" w:eastAsia="Arial" w:hAnsi="Arial" w:cs="Arial"/>
          <w:b/>
          <w:sz w:val="17"/>
        </w:rPr>
        <w:t xml:space="preserve">Art. 1.º </w:t>
      </w:r>
      <w:r>
        <w:rPr>
          <w:rFonts w:ascii="Arial" w:eastAsia="Arial" w:hAnsi="Arial" w:cs="Arial"/>
          <w:sz w:val="17"/>
        </w:rPr>
        <w:t>Fica considerado de Utili</w:t>
      </w:r>
      <w:r>
        <w:rPr>
          <w:rFonts w:ascii="Arial" w:eastAsia="Arial" w:hAnsi="Arial" w:cs="Arial"/>
          <w:sz w:val="17"/>
        </w:rPr>
        <w:t>dade Pública Municipal o Instituto Atletas do Pai – IADP, associação civil de direito privado, sem fins lucrativos, de caráter socioesportivo, que valoriza a autoestima, a disciplina, a cidadania, o convívio familiar e a interação/integração na comunidade,</w:t>
      </w:r>
      <w:r>
        <w:rPr>
          <w:rFonts w:ascii="Arial" w:eastAsia="Arial" w:hAnsi="Arial" w:cs="Arial"/>
          <w:sz w:val="17"/>
        </w:rPr>
        <w:t xml:space="preserve"> inscrito no Cadastro Nacional de Pessoa Jurídica CNPJ, sob o nº 50.487.146/0001-81, com sede e foro na cidade de Manaus, na rua Professor Aderson de Menezes, nº 8, Colônia Santo Antônio – Manaus / AM, CEP: 69093-263. </w:t>
      </w:r>
    </w:p>
    <w:p w:rsidR="00803937" w:rsidRDefault="00516FD1">
      <w:pPr>
        <w:spacing w:after="0"/>
      </w:pPr>
      <w:r>
        <w:rPr>
          <w:rFonts w:ascii="Arial" w:eastAsia="Arial" w:hAnsi="Arial" w:cs="Arial"/>
          <w:sz w:val="17"/>
        </w:rPr>
        <w:t xml:space="preserve"> </w:t>
      </w:r>
    </w:p>
    <w:p w:rsidR="00803937" w:rsidRDefault="00516FD1">
      <w:pPr>
        <w:spacing w:after="4" w:line="249" w:lineRule="auto"/>
        <w:ind w:left="-15" w:firstLine="851"/>
        <w:jc w:val="both"/>
      </w:pPr>
      <w:r>
        <w:rPr>
          <w:rFonts w:ascii="Arial" w:eastAsia="Arial" w:hAnsi="Arial" w:cs="Arial"/>
          <w:b/>
          <w:sz w:val="17"/>
        </w:rPr>
        <w:t>Art. 2.º</w:t>
      </w:r>
      <w:r>
        <w:rPr>
          <w:rFonts w:ascii="Arial" w:eastAsia="Arial" w:hAnsi="Arial" w:cs="Arial"/>
          <w:sz w:val="17"/>
        </w:rPr>
        <w:t xml:space="preserve"> A Utilidade Pública, nos t</w:t>
      </w:r>
      <w:r>
        <w:rPr>
          <w:rFonts w:ascii="Arial" w:eastAsia="Arial" w:hAnsi="Arial" w:cs="Arial"/>
          <w:sz w:val="17"/>
        </w:rPr>
        <w:t xml:space="preserve">ermos do art. 1.º desta Lei, aplica-se, no que couber, no âmbito do município de Manaus, cabendo ao Poder Público Municipal estabelecer os procedimentos pertinentes para que se cumpra esta Lei. </w:t>
      </w:r>
    </w:p>
    <w:p w:rsidR="00803937" w:rsidRDefault="00516FD1">
      <w:pPr>
        <w:spacing w:after="0"/>
      </w:pPr>
      <w:r>
        <w:rPr>
          <w:rFonts w:ascii="Arial" w:eastAsia="Arial" w:hAnsi="Arial" w:cs="Arial"/>
          <w:sz w:val="17"/>
        </w:rPr>
        <w:t xml:space="preserve"> </w:t>
      </w:r>
    </w:p>
    <w:p w:rsidR="00803937" w:rsidRDefault="00516FD1">
      <w:pPr>
        <w:spacing w:after="0"/>
        <w:ind w:left="10" w:right="49" w:hanging="10"/>
        <w:jc w:val="right"/>
      </w:pPr>
      <w:r>
        <w:rPr>
          <w:rFonts w:ascii="Arial" w:eastAsia="Arial" w:hAnsi="Arial" w:cs="Arial"/>
          <w:b/>
          <w:sz w:val="17"/>
        </w:rPr>
        <w:t>Art. 3.º</w:t>
      </w:r>
      <w:r>
        <w:rPr>
          <w:rFonts w:ascii="Arial" w:eastAsia="Arial" w:hAnsi="Arial" w:cs="Arial"/>
          <w:sz w:val="17"/>
        </w:rPr>
        <w:t xml:space="preserve"> Esta Lei entra em vigor na data de sua publicação. </w:t>
      </w:r>
    </w:p>
    <w:p w:rsidR="00803937" w:rsidRDefault="00516FD1">
      <w:pPr>
        <w:spacing w:after="0"/>
        <w:ind w:left="37"/>
        <w:jc w:val="center"/>
      </w:pPr>
      <w:r>
        <w:rPr>
          <w:rFonts w:ascii="Arial" w:eastAsia="Arial" w:hAnsi="Arial" w:cs="Arial"/>
          <w:b/>
          <w:sz w:val="17"/>
        </w:rPr>
        <w:t xml:space="preserve"> </w:t>
      </w:r>
    </w:p>
    <w:p w:rsidR="00803937" w:rsidRDefault="00516FD1">
      <w:pPr>
        <w:spacing w:after="1000" w:line="1083" w:lineRule="auto"/>
        <w:ind w:left="10" w:right="4" w:hanging="10"/>
        <w:jc w:val="center"/>
      </w:pPr>
      <w:r>
        <w:rPr>
          <w:rFonts w:ascii="Arial" w:eastAsia="Arial" w:hAnsi="Arial" w:cs="Arial"/>
          <w:sz w:val="17"/>
        </w:rPr>
        <w:t xml:space="preserve">Manaus, 06 de janeiro de 2026. </w:t>
      </w:r>
    </w:p>
    <w:p w:rsidR="00803937" w:rsidRDefault="00516FD1">
      <w:pPr>
        <w:spacing w:after="0"/>
        <w:ind w:right="637"/>
        <w:jc w:val="right"/>
      </w:pPr>
      <w:r>
        <w:rPr>
          <w:rFonts w:ascii="Arial" w:eastAsia="Arial" w:hAnsi="Arial" w:cs="Arial"/>
          <w:sz w:val="17"/>
        </w:rPr>
        <w:t xml:space="preserve"> </w:t>
      </w:r>
    </w:p>
    <w:p w:rsidR="00803937" w:rsidRDefault="00803937">
      <w:pPr>
        <w:sectPr w:rsidR="00803937">
          <w:type w:val="continuous"/>
          <w:pgSz w:w="11904" w:h="16840"/>
          <w:pgMar w:top="1440" w:right="1130" w:bottom="1440" w:left="1134" w:header="720" w:footer="720" w:gutter="0"/>
          <w:cols w:num="2" w:space="524"/>
        </w:sectPr>
      </w:pPr>
    </w:p>
    <w:p w:rsidR="00803937" w:rsidRDefault="00516FD1">
      <w:pPr>
        <w:pStyle w:val="Ttulo2"/>
        <w:ind w:right="0"/>
      </w:pPr>
      <w:r>
        <w:t>DOM | Edição 6225 | Página 2</w:t>
      </w:r>
      <w:r>
        <w:rPr>
          <w:b w:val="0"/>
        </w:rPr>
        <w:t xml:space="preserve"> </w:t>
      </w:r>
    </w:p>
    <w:p w:rsidR="00803937" w:rsidRDefault="00516FD1">
      <w:pPr>
        <w:spacing w:after="0"/>
        <w:ind w:left="7"/>
        <w:jc w:val="center"/>
      </w:pPr>
      <w:r>
        <w:rPr>
          <w:rFonts w:ascii="Arial" w:eastAsia="Arial" w:hAnsi="Arial" w:cs="Arial"/>
          <w:b/>
          <w:sz w:val="2"/>
        </w:rPr>
        <w:t xml:space="preserve"> </w:t>
      </w:r>
    </w:p>
    <w:sectPr w:rsidR="00803937">
      <w:type w:val="continuous"/>
      <w:pgSz w:w="11904" w:h="16840"/>
      <w:pgMar w:top="443" w:right="4631" w:bottom="493" w:left="463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16FD1">
      <w:pPr>
        <w:spacing w:after="0" w:line="240" w:lineRule="auto"/>
      </w:pPr>
      <w:r>
        <w:separator/>
      </w:r>
    </w:p>
  </w:endnote>
  <w:endnote w:type="continuationSeparator" w:id="0">
    <w:p w:rsidR="00000000" w:rsidRDefault="0051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516FD1">
    <w:pPr>
      <w:spacing w:after="0"/>
      <w:jc w:val="right"/>
    </w:pPr>
    <w:r>
      <w:fldChar w:fldCharType="begin"/>
    </w:r>
    <w:r>
      <w:instrText xml:space="preserve"> PAGE   \* MERGEFORMAT </w:instrText>
    </w:r>
    <w:r>
      <w:fldChar w:fldCharType="separate"/>
    </w:r>
    <w:r>
      <w:t>1</w:t>
    </w:r>
    <w:r>
      <w:fldChar w:fldCharType="end"/>
    </w:r>
    <w:r>
      <w:t xml:space="preserve"> </w:t>
    </w:r>
  </w:p>
  <w:p w:rsidR="00803937" w:rsidRDefault="00516FD1">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516FD1">
    <w:pPr>
      <w:spacing w:after="0"/>
      <w:jc w:val="right"/>
    </w:pPr>
    <w:r>
      <w:fldChar w:fldCharType="begin"/>
    </w:r>
    <w:r>
      <w:instrText xml:space="preserve"> PAGE   \* MERGEFORMAT </w:instrText>
    </w:r>
    <w:r>
      <w:fldChar w:fldCharType="separate"/>
    </w:r>
    <w:r>
      <w:t>1</w:t>
    </w:r>
    <w:r>
      <w:fldChar w:fldCharType="end"/>
    </w:r>
    <w:r>
      <w:t xml:space="preserve"> </w:t>
    </w:r>
  </w:p>
  <w:p w:rsidR="00803937" w:rsidRDefault="00516FD1">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516FD1">
    <w:pPr>
      <w:spacing w:after="0"/>
      <w:jc w:val="right"/>
    </w:pPr>
    <w:r>
      <w:fldChar w:fldCharType="begin"/>
    </w:r>
    <w:r>
      <w:instrText xml:space="preserve"> PAGE   \* MERGEFORMAT </w:instrText>
    </w:r>
    <w:r>
      <w:fldChar w:fldCharType="separate"/>
    </w:r>
    <w:r>
      <w:t>1</w:t>
    </w:r>
    <w:r>
      <w:fldChar w:fldCharType="end"/>
    </w:r>
    <w:r>
      <w:t xml:space="preserve"> </w:t>
    </w:r>
  </w:p>
  <w:p w:rsidR="00803937" w:rsidRDefault="00516FD1">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80393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80393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8039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16FD1">
      <w:pPr>
        <w:spacing w:after="0" w:line="240" w:lineRule="auto"/>
      </w:pPr>
      <w:r>
        <w:separator/>
      </w:r>
    </w:p>
  </w:footnote>
  <w:footnote w:type="continuationSeparator" w:id="0">
    <w:p w:rsidR="00000000" w:rsidRDefault="00516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516FD1">
    <w:pPr>
      <w:spacing w:after="201"/>
    </w:pPr>
    <w:r>
      <w:rPr>
        <w:noProof/>
      </w:rPr>
      <w:drawing>
        <wp:anchor distT="0" distB="0" distL="114300" distR="114300" simplePos="0" relativeHeight="251658240" behindDoc="0" locked="0" layoutInCell="1" allowOverlap="0">
          <wp:simplePos x="0" y="0"/>
          <wp:positionH relativeFrom="page">
            <wp:posOffset>1080516</wp:posOffset>
          </wp:positionH>
          <wp:positionV relativeFrom="page">
            <wp:posOffset>277367</wp:posOffset>
          </wp:positionV>
          <wp:extent cx="571500" cy="612648"/>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571500" cy="612648"/>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simplePos x="0" y="0"/>
              <wp:positionH relativeFrom="page">
                <wp:posOffset>2880360</wp:posOffset>
              </wp:positionH>
              <wp:positionV relativeFrom="page">
                <wp:posOffset>179831</wp:posOffset>
              </wp:positionV>
              <wp:extent cx="1795272" cy="741106"/>
              <wp:effectExtent l="0" t="0" r="0" b="0"/>
              <wp:wrapSquare wrapText="bothSides"/>
              <wp:docPr id="13861" name="Group 13861"/>
              <wp:cNvGraphicFramePr/>
              <a:graphic xmlns:a="http://schemas.openxmlformats.org/drawingml/2006/main">
                <a:graphicData uri="http://schemas.microsoft.com/office/word/2010/wordprocessingGroup">
                  <wpg:wgp>
                    <wpg:cNvGrpSpPr/>
                    <wpg:grpSpPr>
                      <a:xfrm>
                        <a:off x="0" y="0"/>
                        <a:ext cx="1795272" cy="741106"/>
                        <a:chOff x="0" y="0"/>
                        <a:chExt cx="1795272" cy="741106"/>
                      </a:xfrm>
                    </wpg:grpSpPr>
                    <wps:wsp>
                      <wps:cNvPr id="13864" name="Rectangle 13864"/>
                      <wps:cNvSpPr/>
                      <wps:spPr>
                        <a:xfrm>
                          <a:off x="498983" y="612268"/>
                          <a:ext cx="38021" cy="171355"/>
                        </a:xfrm>
                        <a:prstGeom prst="rect">
                          <a:avLst/>
                        </a:prstGeom>
                        <a:ln>
                          <a:noFill/>
                        </a:ln>
                      </wps:spPr>
                      <wps:txbx>
                        <w:txbxContent>
                          <w:p w:rsidR="00803937" w:rsidRDefault="00516FD1">
                            <w:r>
                              <w:rPr>
                                <w:sz w:val="20"/>
                              </w:rPr>
                              <w:t xml:space="preserve"> </w:t>
                            </w:r>
                          </w:p>
                        </w:txbxContent>
                      </wps:txbx>
                      <wps:bodyPr horzOverflow="overflow" vert="horz" lIns="0" tIns="0" rIns="0" bIns="0" rtlCol="0">
                        <a:noAutofit/>
                      </wps:bodyPr>
                    </wps:wsp>
                    <pic:pic xmlns:pic="http://schemas.openxmlformats.org/drawingml/2006/picture">
                      <pic:nvPicPr>
                        <pic:cNvPr id="13862" name="Picture 13862"/>
                        <pic:cNvPicPr/>
                      </pic:nvPicPr>
                      <pic:blipFill>
                        <a:blip r:embed="rId2"/>
                        <a:stretch>
                          <a:fillRect/>
                        </a:stretch>
                      </pic:blipFill>
                      <pic:spPr>
                        <a:xfrm>
                          <a:off x="0" y="0"/>
                          <a:ext cx="499872" cy="710184"/>
                        </a:xfrm>
                        <a:prstGeom prst="rect">
                          <a:avLst/>
                        </a:prstGeom>
                      </pic:spPr>
                    </pic:pic>
                    <pic:pic xmlns:pic="http://schemas.openxmlformats.org/drawingml/2006/picture">
                      <pic:nvPicPr>
                        <pic:cNvPr id="13863" name="Picture 13863"/>
                        <pic:cNvPicPr/>
                      </pic:nvPicPr>
                      <pic:blipFill>
                        <a:blip r:embed="rId3"/>
                        <a:stretch>
                          <a:fillRect/>
                        </a:stretch>
                      </pic:blipFill>
                      <pic:spPr>
                        <a:xfrm>
                          <a:off x="583692" y="173737"/>
                          <a:ext cx="1211580" cy="352044"/>
                        </a:xfrm>
                        <a:prstGeom prst="rect">
                          <a:avLst/>
                        </a:prstGeom>
                      </pic:spPr>
                    </pic:pic>
                  </wpg:wgp>
                </a:graphicData>
              </a:graphic>
            </wp:anchor>
          </w:drawing>
        </mc:Choice>
        <mc:Fallback xmlns:a="http://schemas.openxmlformats.org/drawingml/2006/main">
          <w:pict>
            <v:group id="Group 13861" style="width:141.36pt;height:58.3548pt;position:absolute;mso-position-horizontal-relative:page;mso-position-horizontal:absolute;margin-left:226.8pt;mso-position-vertical-relative:page;margin-top:14.16pt;" coordsize="17952,7411">
              <v:rect id="Rectangle 13864" style="position:absolute;width:380;height:1713;left:4989;top:6122;" filled="f" stroked="f">
                <v:textbox inset="0,0,0,0">
                  <w:txbxContent>
                    <w:p>
                      <w:pPr>
                        <w:spacing w:before="0" w:after="160" w:line="259" w:lineRule="auto"/>
                      </w:pPr>
                      <w:r>
                        <w:rPr>
                          <w:rFonts w:cs="Calibri" w:hAnsi="Calibri" w:eastAsia="Calibri" w:ascii="Calibri"/>
                          <w:sz w:val="20"/>
                        </w:rPr>
                        <w:t xml:space="preserve"> </w:t>
                      </w:r>
                    </w:p>
                  </w:txbxContent>
                </v:textbox>
              </v:rect>
              <v:shape id="Picture 13862" style="position:absolute;width:4998;height:7101;left:0;top:0;" filled="f">
                <v:imagedata r:id="rId19"/>
              </v:shape>
              <v:shape id="Picture 13863" style="position:absolute;width:12115;height:3520;left:5836;top:1737;" filled="f">
                <v:imagedata r:id="rId20"/>
              </v:shape>
              <w10:wrap type="square"/>
            </v:group>
          </w:pict>
        </mc:Fallback>
      </mc:AlternateContent>
    </w:r>
    <w:r>
      <w:rPr>
        <w:noProof/>
      </w:rPr>
      <w:drawing>
        <wp:anchor distT="0" distB="0" distL="114300" distR="114300" simplePos="0" relativeHeight="251660288" behindDoc="0" locked="0" layoutInCell="1" allowOverlap="0">
          <wp:simplePos x="0" y="0"/>
          <wp:positionH relativeFrom="page">
            <wp:posOffset>6161532</wp:posOffset>
          </wp:positionH>
          <wp:positionV relativeFrom="page">
            <wp:posOffset>359664</wp:posOffset>
          </wp:positionV>
          <wp:extent cx="588264" cy="576072"/>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stretch>
                    <a:fillRect/>
                  </a:stretch>
                </pic:blipFill>
                <pic:spPr>
                  <a:xfrm>
                    <a:off x="0" y="0"/>
                    <a:ext cx="588264" cy="576072"/>
                  </a:xfrm>
                  <a:prstGeom prst="rect">
                    <a:avLst/>
                  </a:prstGeom>
                </pic:spPr>
              </pic:pic>
            </a:graphicData>
          </a:graphic>
        </wp:anchor>
      </w:drawing>
    </w:r>
    <w:r>
      <w:rPr>
        <w:sz w:val="20"/>
      </w:rPr>
      <w:t xml:space="preserve"> </w:t>
    </w:r>
    <w:r>
      <w:rPr>
        <w:sz w:val="20"/>
      </w:rPr>
      <w:tab/>
      <w:t xml:space="preserve"> </w:t>
    </w:r>
    <w:r>
      <w:rPr>
        <w:sz w:val="20"/>
      </w:rPr>
      <w:tab/>
      <w:t xml:space="preserve"> </w:t>
    </w:r>
    <w:r>
      <w:rPr>
        <w:sz w:val="20"/>
      </w:rPr>
      <w:tab/>
    </w:r>
  </w:p>
  <w:p w:rsidR="00803937" w:rsidRDefault="00516FD1">
    <w:pPr>
      <w:spacing w:after="0"/>
      <w:ind w:left="1193"/>
    </w:pPr>
    <w:r>
      <w:rPr>
        <w:rFonts w:ascii="Arial" w:eastAsia="Arial" w:hAnsi="Arial" w:cs="Arial"/>
        <w:b/>
        <w:color w:val="568636"/>
        <w:sz w:val="16"/>
      </w:rPr>
      <w:t xml:space="preserve"> </w:t>
    </w:r>
  </w:p>
  <w:p w:rsidR="00803937" w:rsidRDefault="00516FD1">
    <w:pPr>
      <w:spacing w:after="118"/>
      <w:ind w:left="373"/>
      <w:jc w:val="center"/>
    </w:pPr>
    <w:r>
      <w:rPr>
        <w:b/>
        <w:sz w:val="16"/>
      </w:rPr>
      <w:t>DIRETORIA</w:t>
    </w:r>
    <w:r>
      <w:rPr>
        <w:rFonts w:ascii="Arial" w:eastAsia="Arial" w:hAnsi="Arial" w:cs="Arial"/>
        <w:b/>
        <w:sz w:val="13"/>
      </w:rPr>
      <w:t xml:space="preserve"> </w:t>
    </w:r>
    <w:r>
      <w:rPr>
        <w:rFonts w:ascii="Arial" w:eastAsia="Arial" w:hAnsi="Arial" w:cs="Arial"/>
        <w:b/>
        <w:sz w:val="16"/>
      </w:rPr>
      <w:t>LEGISLATIVA</w:t>
    </w:r>
    <w:r>
      <w:rPr>
        <w:rFonts w:ascii="Arial" w:eastAsia="Arial" w:hAnsi="Arial" w:cs="Arial"/>
        <w:sz w:val="16"/>
      </w:rPr>
      <w:t xml:space="preserve"> </w:t>
    </w:r>
  </w:p>
  <w:p w:rsidR="00803937" w:rsidRDefault="00516FD1">
    <w:pPr>
      <w:spacing w:after="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516FD1">
    <w:pPr>
      <w:spacing w:after="201"/>
    </w:pPr>
    <w:r>
      <w:rPr>
        <w:noProof/>
      </w:rPr>
      <w:drawing>
        <wp:anchor distT="0" distB="0" distL="114300" distR="114300" simplePos="0" relativeHeight="251661312" behindDoc="0" locked="0" layoutInCell="1" allowOverlap="0">
          <wp:simplePos x="0" y="0"/>
          <wp:positionH relativeFrom="page">
            <wp:posOffset>1080516</wp:posOffset>
          </wp:positionH>
          <wp:positionV relativeFrom="page">
            <wp:posOffset>277367</wp:posOffset>
          </wp:positionV>
          <wp:extent cx="571500" cy="612648"/>
          <wp:effectExtent l="0" t="0" r="0" b="0"/>
          <wp:wrapSquare wrapText="bothSides"/>
          <wp:docPr id="1"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571500" cy="612648"/>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simplePos x="0" y="0"/>
              <wp:positionH relativeFrom="page">
                <wp:posOffset>2880360</wp:posOffset>
              </wp:positionH>
              <wp:positionV relativeFrom="page">
                <wp:posOffset>179831</wp:posOffset>
              </wp:positionV>
              <wp:extent cx="1795272" cy="741106"/>
              <wp:effectExtent l="0" t="0" r="0" b="0"/>
              <wp:wrapSquare wrapText="bothSides"/>
              <wp:docPr id="13820" name="Group 13820"/>
              <wp:cNvGraphicFramePr/>
              <a:graphic xmlns:a="http://schemas.openxmlformats.org/drawingml/2006/main">
                <a:graphicData uri="http://schemas.microsoft.com/office/word/2010/wordprocessingGroup">
                  <wpg:wgp>
                    <wpg:cNvGrpSpPr/>
                    <wpg:grpSpPr>
                      <a:xfrm>
                        <a:off x="0" y="0"/>
                        <a:ext cx="1795272" cy="741106"/>
                        <a:chOff x="0" y="0"/>
                        <a:chExt cx="1795272" cy="741106"/>
                      </a:xfrm>
                    </wpg:grpSpPr>
                    <wps:wsp>
                      <wps:cNvPr id="13823" name="Rectangle 13823"/>
                      <wps:cNvSpPr/>
                      <wps:spPr>
                        <a:xfrm>
                          <a:off x="498983" y="612268"/>
                          <a:ext cx="38021" cy="171355"/>
                        </a:xfrm>
                        <a:prstGeom prst="rect">
                          <a:avLst/>
                        </a:prstGeom>
                        <a:ln>
                          <a:noFill/>
                        </a:ln>
                      </wps:spPr>
                      <wps:txbx>
                        <w:txbxContent>
                          <w:p w:rsidR="00803937" w:rsidRDefault="00516FD1">
                            <w:r>
                              <w:rPr>
                                <w:sz w:val="20"/>
                              </w:rPr>
                              <w:t xml:space="preserve"> </w:t>
                            </w:r>
                          </w:p>
                        </w:txbxContent>
                      </wps:txbx>
                      <wps:bodyPr horzOverflow="overflow" vert="horz" lIns="0" tIns="0" rIns="0" bIns="0" rtlCol="0">
                        <a:noAutofit/>
                      </wps:bodyPr>
                    </wps:wsp>
                    <pic:pic xmlns:pic="http://schemas.openxmlformats.org/drawingml/2006/picture">
                      <pic:nvPicPr>
                        <pic:cNvPr id="13821" name="Picture 13821"/>
                        <pic:cNvPicPr/>
                      </pic:nvPicPr>
                      <pic:blipFill>
                        <a:blip r:embed="rId2"/>
                        <a:stretch>
                          <a:fillRect/>
                        </a:stretch>
                      </pic:blipFill>
                      <pic:spPr>
                        <a:xfrm>
                          <a:off x="0" y="0"/>
                          <a:ext cx="499872" cy="710184"/>
                        </a:xfrm>
                        <a:prstGeom prst="rect">
                          <a:avLst/>
                        </a:prstGeom>
                      </pic:spPr>
                    </pic:pic>
                    <pic:pic xmlns:pic="http://schemas.openxmlformats.org/drawingml/2006/picture">
                      <pic:nvPicPr>
                        <pic:cNvPr id="13822" name="Picture 13822"/>
                        <pic:cNvPicPr/>
                      </pic:nvPicPr>
                      <pic:blipFill>
                        <a:blip r:embed="rId3"/>
                        <a:stretch>
                          <a:fillRect/>
                        </a:stretch>
                      </pic:blipFill>
                      <pic:spPr>
                        <a:xfrm>
                          <a:off x="583692" y="173737"/>
                          <a:ext cx="1211580" cy="352044"/>
                        </a:xfrm>
                        <a:prstGeom prst="rect">
                          <a:avLst/>
                        </a:prstGeom>
                      </pic:spPr>
                    </pic:pic>
                  </wpg:wgp>
                </a:graphicData>
              </a:graphic>
            </wp:anchor>
          </w:drawing>
        </mc:Choice>
        <mc:Fallback xmlns:a="http://schemas.openxmlformats.org/drawingml/2006/main">
          <w:pict>
            <v:group id="Group 13820" style="width:141.36pt;height:58.3548pt;position:absolute;mso-position-horizontal-relative:page;mso-position-horizontal:absolute;margin-left:226.8pt;mso-position-vertical-relative:page;margin-top:14.16pt;" coordsize="17952,7411">
              <v:rect id="Rectangle 13823" style="position:absolute;width:380;height:1713;left:4989;top:6122;" filled="f" stroked="f">
                <v:textbox inset="0,0,0,0">
                  <w:txbxContent>
                    <w:p>
                      <w:pPr>
                        <w:spacing w:before="0" w:after="160" w:line="259" w:lineRule="auto"/>
                      </w:pPr>
                      <w:r>
                        <w:rPr>
                          <w:rFonts w:cs="Calibri" w:hAnsi="Calibri" w:eastAsia="Calibri" w:ascii="Calibri"/>
                          <w:sz w:val="20"/>
                        </w:rPr>
                        <w:t xml:space="preserve"> </w:t>
                      </w:r>
                    </w:p>
                  </w:txbxContent>
                </v:textbox>
              </v:rect>
              <v:shape id="Picture 13821" style="position:absolute;width:4998;height:7101;left:0;top:0;" filled="f">
                <v:imagedata r:id="rId19"/>
              </v:shape>
              <v:shape id="Picture 13822" style="position:absolute;width:12115;height:3520;left:5836;top:1737;" filled="f">
                <v:imagedata r:id="rId20"/>
              </v:shape>
              <w10:wrap type="square"/>
            </v:group>
          </w:pict>
        </mc:Fallback>
      </mc:AlternateContent>
    </w:r>
    <w:r>
      <w:rPr>
        <w:noProof/>
      </w:rPr>
      <w:drawing>
        <wp:anchor distT="0" distB="0" distL="114300" distR="114300" simplePos="0" relativeHeight="251663360" behindDoc="0" locked="0" layoutInCell="1" allowOverlap="0">
          <wp:simplePos x="0" y="0"/>
          <wp:positionH relativeFrom="page">
            <wp:posOffset>6161532</wp:posOffset>
          </wp:positionH>
          <wp:positionV relativeFrom="page">
            <wp:posOffset>359664</wp:posOffset>
          </wp:positionV>
          <wp:extent cx="588264" cy="576072"/>
          <wp:effectExtent l="0" t="0" r="0" b="0"/>
          <wp:wrapSquare wrapText="bothSides"/>
          <wp:docPr id="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stretch>
                    <a:fillRect/>
                  </a:stretch>
                </pic:blipFill>
                <pic:spPr>
                  <a:xfrm>
                    <a:off x="0" y="0"/>
                    <a:ext cx="588264" cy="576072"/>
                  </a:xfrm>
                  <a:prstGeom prst="rect">
                    <a:avLst/>
                  </a:prstGeom>
                </pic:spPr>
              </pic:pic>
            </a:graphicData>
          </a:graphic>
        </wp:anchor>
      </w:drawing>
    </w:r>
    <w:r>
      <w:rPr>
        <w:sz w:val="20"/>
      </w:rPr>
      <w:t xml:space="preserve"> </w:t>
    </w:r>
    <w:r>
      <w:rPr>
        <w:sz w:val="20"/>
      </w:rPr>
      <w:tab/>
      <w:t xml:space="preserve"> </w:t>
    </w:r>
    <w:r>
      <w:rPr>
        <w:sz w:val="20"/>
      </w:rPr>
      <w:tab/>
      <w:t xml:space="preserve"> </w:t>
    </w:r>
    <w:r>
      <w:rPr>
        <w:sz w:val="20"/>
      </w:rPr>
      <w:tab/>
    </w:r>
  </w:p>
  <w:p w:rsidR="00803937" w:rsidRDefault="00516FD1">
    <w:pPr>
      <w:spacing w:after="0"/>
      <w:ind w:left="1193"/>
    </w:pPr>
    <w:r>
      <w:rPr>
        <w:rFonts w:ascii="Arial" w:eastAsia="Arial" w:hAnsi="Arial" w:cs="Arial"/>
        <w:b/>
        <w:color w:val="568636"/>
        <w:sz w:val="16"/>
      </w:rPr>
      <w:t xml:space="preserve"> </w:t>
    </w:r>
  </w:p>
  <w:p w:rsidR="00803937" w:rsidRDefault="00516FD1">
    <w:pPr>
      <w:spacing w:after="118"/>
      <w:ind w:left="373"/>
      <w:jc w:val="center"/>
    </w:pPr>
    <w:r>
      <w:rPr>
        <w:b/>
        <w:sz w:val="16"/>
      </w:rPr>
      <w:t>DIRETORIA</w:t>
    </w:r>
    <w:r>
      <w:rPr>
        <w:rFonts w:ascii="Arial" w:eastAsia="Arial" w:hAnsi="Arial" w:cs="Arial"/>
        <w:b/>
        <w:sz w:val="13"/>
      </w:rPr>
      <w:t xml:space="preserve"> </w:t>
    </w:r>
    <w:r>
      <w:rPr>
        <w:rFonts w:ascii="Arial" w:eastAsia="Arial" w:hAnsi="Arial" w:cs="Arial"/>
        <w:b/>
        <w:sz w:val="16"/>
      </w:rPr>
      <w:t>LEGISLATIVA</w:t>
    </w:r>
    <w:r>
      <w:rPr>
        <w:rFonts w:ascii="Arial" w:eastAsia="Arial" w:hAnsi="Arial" w:cs="Arial"/>
        <w:sz w:val="16"/>
      </w:rPr>
      <w:t xml:space="preserve"> </w:t>
    </w:r>
  </w:p>
  <w:p w:rsidR="00803937" w:rsidRDefault="00516FD1">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516FD1">
    <w:pPr>
      <w:spacing w:after="201"/>
    </w:pPr>
    <w:r>
      <w:rPr>
        <w:noProof/>
      </w:rPr>
      <w:drawing>
        <wp:anchor distT="0" distB="0" distL="114300" distR="114300" simplePos="0" relativeHeight="251664384" behindDoc="0" locked="0" layoutInCell="1" allowOverlap="0">
          <wp:simplePos x="0" y="0"/>
          <wp:positionH relativeFrom="page">
            <wp:posOffset>1080516</wp:posOffset>
          </wp:positionH>
          <wp:positionV relativeFrom="page">
            <wp:posOffset>277367</wp:posOffset>
          </wp:positionV>
          <wp:extent cx="571500" cy="612648"/>
          <wp:effectExtent l="0" t="0" r="0" b="0"/>
          <wp:wrapSquare wrapText="bothSides"/>
          <wp:docPr id="3"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571500" cy="612648"/>
                  </a:xfrm>
                  <a:prstGeom prst="rect">
                    <a:avLst/>
                  </a:prstGeom>
                </pic:spPr>
              </pic:pic>
            </a:graphicData>
          </a:graphic>
        </wp:anchor>
      </w:drawing>
    </w:r>
    <w:r>
      <w:rPr>
        <w:noProof/>
      </w:rPr>
      <mc:AlternateContent>
        <mc:Choice Requires="wpg">
          <w:drawing>
            <wp:anchor distT="0" distB="0" distL="114300" distR="114300" simplePos="0" relativeHeight="251665408" behindDoc="0" locked="0" layoutInCell="1" allowOverlap="1">
              <wp:simplePos x="0" y="0"/>
              <wp:positionH relativeFrom="page">
                <wp:posOffset>2880360</wp:posOffset>
              </wp:positionH>
              <wp:positionV relativeFrom="page">
                <wp:posOffset>179831</wp:posOffset>
              </wp:positionV>
              <wp:extent cx="1795272" cy="741106"/>
              <wp:effectExtent l="0" t="0" r="0" b="0"/>
              <wp:wrapSquare wrapText="bothSides"/>
              <wp:docPr id="13779" name="Group 13779"/>
              <wp:cNvGraphicFramePr/>
              <a:graphic xmlns:a="http://schemas.openxmlformats.org/drawingml/2006/main">
                <a:graphicData uri="http://schemas.microsoft.com/office/word/2010/wordprocessingGroup">
                  <wpg:wgp>
                    <wpg:cNvGrpSpPr/>
                    <wpg:grpSpPr>
                      <a:xfrm>
                        <a:off x="0" y="0"/>
                        <a:ext cx="1795272" cy="741106"/>
                        <a:chOff x="0" y="0"/>
                        <a:chExt cx="1795272" cy="741106"/>
                      </a:xfrm>
                    </wpg:grpSpPr>
                    <wps:wsp>
                      <wps:cNvPr id="13782" name="Rectangle 13782"/>
                      <wps:cNvSpPr/>
                      <wps:spPr>
                        <a:xfrm>
                          <a:off x="498983" y="612268"/>
                          <a:ext cx="38021" cy="171355"/>
                        </a:xfrm>
                        <a:prstGeom prst="rect">
                          <a:avLst/>
                        </a:prstGeom>
                        <a:ln>
                          <a:noFill/>
                        </a:ln>
                      </wps:spPr>
                      <wps:txbx>
                        <w:txbxContent>
                          <w:p w:rsidR="00803937" w:rsidRDefault="00516FD1">
                            <w:r>
                              <w:rPr>
                                <w:sz w:val="20"/>
                              </w:rPr>
                              <w:t xml:space="preserve"> </w:t>
                            </w:r>
                          </w:p>
                        </w:txbxContent>
                      </wps:txbx>
                      <wps:bodyPr horzOverflow="overflow" vert="horz" lIns="0" tIns="0" rIns="0" bIns="0" rtlCol="0">
                        <a:noAutofit/>
                      </wps:bodyPr>
                    </wps:wsp>
                    <pic:pic xmlns:pic="http://schemas.openxmlformats.org/drawingml/2006/picture">
                      <pic:nvPicPr>
                        <pic:cNvPr id="13780" name="Picture 13780"/>
                        <pic:cNvPicPr/>
                      </pic:nvPicPr>
                      <pic:blipFill>
                        <a:blip r:embed="rId2"/>
                        <a:stretch>
                          <a:fillRect/>
                        </a:stretch>
                      </pic:blipFill>
                      <pic:spPr>
                        <a:xfrm>
                          <a:off x="0" y="0"/>
                          <a:ext cx="499872" cy="710184"/>
                        </a:xfrm>
                        <a:prstGeom prst="rect">
                          <a:avLst/>
                        </a:prstGeom>
                      </pic:spPr>
                    </pic:pic>
                    <pic:pic xmlns:pic="http://schemas.openxmlformats.org/drawingml/2006/picture">
                      <pic:nvPicPr>
                        <pic:cNvPr id="13781" name="Picture 13781"/>
                        <pic:cNvPicPr/>
                      </pic:nvPicPr>
                      <pic:blipFill>
                        <a:blip r:embed="rId3"/>
                        <a:stretch>
                          <a:fillRect/>
                        </a:stretch>
                      </pic:blipFill>
                      <pic:spPr>
                        <a:xfrm>
                          <a:off x="583692" y="173737"/>
                          <a:ext cx="1211580" cy="352044"/>
                        </a:xfrm>
                        <a:prstGeom prst="rect">
                          <a:avLst/>
                        </a:prstGeom>
                      </pic:spPr>
                    </pic:pic>
                  </wpg:wgp>
                </a:graphicData>
              </a:graphic>
            </wp:anchor>
          </w:drawing>
        </mc:Choice>
        <mc:Fallback xmlns:a="http://schemas.openxmlformats.org/drawingml/2006/main">
          <w:pict>
            <v:group id="Group 13779" style="width:141.36pt;height:58.3548pt;position:absolute;mso-position-horizontal-relative:page;mso-position-horizontal:absolute;margin-left:226.8pt;mso-position-vertical-relative:page;margin-top:14.16pt;" coordsize="17952,7411">
              <v:rect id="Rectangle 13782" style="position:absolute;width:380;height:1713;left:4989;top:6122;" filled="f" stroked="f">
                <v:textbox inset="0,0,0,0">
                  <w:txbxContent>
                    <w:p>
                      <w:pPr>
                        <w:spacing w:before="0" w:after="160" w:line="259" w:lineRule="auto"/>
                      </w:pPr>
                      <w:r>
                        <w:rPr>
                          <w:rFonts w:cs="Calibri" w:hAnsi="Calibri" w:eastAsia="Calibri" w:ascii="Calibri"/>
                          <w:sz w:val="20"/>
                        </w:rPr>
                        <w:t xml:space="preserve"> </w:t>
                      </w:r>
                    </w:p>
                  </w:txbxContent>
                </v:textbox>
              </v:rect>
              <v:shape id="Picture 13780" style="position:absolute;width:4998;height:7101;left:0;top:0;" filled="f">
                <v:imagedata r:id="rId19"/>
              </v:shape>
              <v:shape id="Picture 13781" style="position:absolute;width:12115;height:3520;left:5836;top:1737;" filled="f">
                <v:imagedata r:id="rId20"/>
              </v:shape>
              <w10:wrap type="square"/>
            </v:group>
          </w:pict>
        </mc:Fallback>
      </mc:AlternateContent>
    </w:r>
    <w:r>
      <w:rPr>
        <w:noProof/>
      </w:rPr>
      <w:drawing>
        <wp:anchor distT="0" distB="0" distL="114300" distR="114300" simplePos="0" relativeHeight="251666432" behindDoc="0" locked="0" layoutInCell="1" allowOverlap="0">
          <wp:simplePos x="0" y="0"/>
          <wp:positionH relativeFrom="page">
            <wp:posOffset>6161532</wp:posOffset>
          </wp:positionH>
          <wp:positionV relativeFrom="page">
            <wp:posOffset>359664</wp:posOffset>
          </wp:positionV>
          <wp:extent cx="588264" cy="576072"/>
          <wp:effectExtent l="0" t="0" r="0" b="0"/>
          <wp:wrapSquare wrapText="bothSides"/>
          <wp:docPr id="4"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stretch>
                    <a:fillRect/>
                  </a:stretch>
                </pic:blipFill>
                <pic:spPr>
                  <a:xfrm>
                    <a:off x="0" y="0"/>
                    <a:ext cx="588264" cy="576072"/>
                  </a:xfrm>
                  <a:prstGeom prst="rect">
                    <a:avLst/>
                  </a:prstGeom>
                </pic:spPr>
              </pic:pic>
            </a:graphicData>
          </a:graphic>
        </wp:anchor>
      </w:drawing>
    </w:r>
    <w:r>
      <w:rPr>
        <w:sz w:val="20"/>
      </w:rPr>
      <w:t xml:space="preserve"> </w:t>
    </w:r>
    <w:r>
      <w:rPr>
        <w:sz w:val="20"/>
      </w:rPr>
      <w:tab/>
      <w:t xml:space="preserve"> </w:t>
    </w:r>
    <w:r>
      <w:rPr>
        <w:sz w:val="20"/>
      </w:rPr>
      <w:tab/>
      <w:t xml:space="preserve"> </w:t>
    </w:r>
    <w:r>
      <w:rPr>
        <w:sz w:val="20"/>
      </w:rPr>
      <w:tab/>
    </w:r>
  </w:p>
  <w:p w:rsidR="00803937" w:rsidRDefault="00516FD1">
    <w:pPr>
      <w:spacing w:after="0"/>
      <w:ind w:left="1193"/>
    </w:pPr>
    <w:r>
      <w:rPr>
        <w:rFonts w:ascii="Arial" w:eastAsia="Arial" w:hAnsi="Arial" w:cs="Arial"/>
        <w:b/>
        <w:color w:val="568636"/>
        <w:sz w:val="16"/>
      </w:rPr>
      <w:t xml:space="preserve"> </w:t>
    </w:r>
  </w:p>
  <w:p w:rsidR="00803937" w:rsidRDefault="00516FD1">
    <w:pPr>
      <w:spacing w:after="118"/>
      <w:ind w:left="373"/>
      <w:jc w:val="center"/>
    </w:pPr>
    <w:r>
      <w:rPr>
        <w:b/>
        <w:sz w:val="16"/>
      </w:rPr>
      <w:t>DIRETORIA</w:t>
    </w:r>
    <w:r>
      <w:rPr>
        <w:rFonts w:ascii="Arial" w:eastAsia="Arial" w:hAnsi="Arial" w:cs="Arial"/>
        <w:b/>
        <w:sz w:val="13"/>
      </w:rPr>
      <w:t xml:space="preserve"> </w:t>
    </w:r>
    <w:r>
      <w:rPr>
        <w:rFonts w:ascii="Arial" w:eastAsia="Arial" w:hAnsi="Arial" w:cs="Arial"/>
        <w:b/>
        <w:sz w:val="16"/>
      </w:rPr>
      <w:t>LEGISLATIVA</w:t>
    </w:r>
    <w:r>
      <w:rPr>
        <w:rFonts w:ascii="Arial" w:eastAsia="Arial" w:hAnsi="Arial" w:cs="Arial"/>
        <w:sz w:val="16"/>
      </w:rPr>
      <w:t xml:space="preserve"> </w:t>
    </w:r>
  </w:p>
  <w:p w:rsidR="00803937" w:rsidRDefault="00516FD1">
    <w:pPr>
      <w:spacing w:after="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80393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80393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37" w:rsidRDefault="008039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748B6"/>
    <w:multiLevelType w:val="hybridMultilevel"/>
    <w:tmpl w:val="578C03FE"/>
    <w:lvl w:ilvl="0" w:tplc="7AE641A6">
      <w:start w:val="1"/>
      <w:numFmt w:val="upperRoman"/>
      <w:lvlText w:val="%1"/>
      <w:lvlJc w:val="left"/>
      <w:pPr>
        <w:ind w:left="9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D96EA4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9E0075E">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11EBEB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54C4F1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D66AFF4">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902D480">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64AD068">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18C7B88">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0E268B"/>
    <w:multiLevelType w:val="hybridMultilevel"/>
    <w:tmpl w:val="D41012A4"/>
    <w:lvl w:ilvl="0" w:tplc="7BC0E218">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4B881A6">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FD4ABB2">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94AC4A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49874E6">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34E4046">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FAE9F0A">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976662A">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960EFA8">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1202C0"/>
    <w:multiLevelType w:val="hybridMultilevel"/>
    <w:tmpl w:val="728A9E70"/>
    <w:lvl w:ilvl="0" w:tplc="DB5262C4">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CAECDF0">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798095C">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30E4B4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A5A230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322FEEC">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55EAD60">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BC83F66">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87E888E">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EB76955"/>
    <w:multiLevelType w:val="hybridMultilevel"/>
    <w:tmpl w:val="7F94F770"/>
    <w:lvl w:ilvl="0" w:tplc="1570CAB8">
      <w:start w:val="1"/>
      <w:numFmt w:val="upperRoman"/>
      <w:lvlText w:val="%1"/>
      <w:lvlJc w:val="left"/>
      <w:pPr>
        <w:ind w:left="418"/>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77602478">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6D329D64">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8C36757C">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850E0A10">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60EA57F8">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55B2E674">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AE9E6FDC">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E6644154">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61887B3D"/>
    <w:multiLevelType w:val="hybridMultilevel"/>
    <w:tmpl w:val="5B68140C"/>
    <w:lvl w:ilvl="0" w:tplc="63264738">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E98026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CE6A1D4">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E0403E4">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E9899BC">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5B44360">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1648110">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DE69BC8">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8B4F244">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133B8F"/>
    <w:multiLevelType w:val="hybridMultilevel"/>
    <w:tmpl w:val="5450FB56"/>
    <w:lvl w:ilvl="0" w:tplc="BF349FBE">
      <w:start w:val="1"/>
      <w:numFmt w:val="upperRoman"/>
      <w:lvlText w:val="%1"/>
      <w:lvlJc w:val="left"/>
      <w:pPr>
        <w:ind w:left="3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D04C67C">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3686A9C">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A3C490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BF0499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8E420F4">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F46DA78">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5588E3C">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9D030EE">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C33D1D"/>
    <w:multiLevelType w:val="hybridMultilevel"/>
    <w:tmpl w:val="7A1277D8"/>
    <w:lvl w:ilvl="0" w:tplc="00E4A85A">
      <w:start w:val="1"/>
      <w:numFmt w:val="upperRoman"/>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F7FC3FAC">
      <w:start w:val="1"/>
      <w:numFmt w:val="lowerLetter"/>
      <w:lvlText w:val="%2"/>
      <w:lvlJc w:val="left"/>
      <w:pPr>
        <w:ind w:left="19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F570625C">
      <w:start w:val="1"/>
      <w:numFmt w:val="lowerRoman"/>
      <w:lvlText w:val="%3"/>
      <w:lvlJc w:val="left"/>
      <w:pPr>
        <w:ind w:left="26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C2AE1DC4">
      <w:start w:val="1"/>
      <w:numFmt w:val="decimal"/>
      <w:lvlText w:val="%4"/>
      <w:lvlJc w:val="left"/>
      <w:pPr>
        <w:ind w:left="33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752AA1E">
      <w:start w:val="1"/>
      <w:numFmt w:val="lowerLetter"/>
      <w:lvlText w:val="%5"/>
      <w:lvlJc w:val="left"/>
      <w:pPr>
        <w:ind w:left="409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D6866376">
      <w:start w:val="1"/>
      <w:numFmt w:val="lowerRoman"/>
      <w:lvlText w:val="%6"/>
      <w:lvlJc w:val="left"/>
      <w:pPr>
        <w:ind w:left="48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1B828E3E">
      <w:start w:val="1"/>
      <w:numFmt w:val="decimal"/>
      <w:lvlText w:val="%7"/>
      <w:lvlJc w:val="left"/>
      <w:pPr>
        <w:ind w:left="553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78D0226E">
      <w:start w:val="1"/>
      <w:numFmt w:val="lowerLetter"/>
      <w:lvlText w:val="%8"/>
      <w:lvlJc w:val="left"/>
      <w:pPr>
        <w:ind w:left="625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3CE6D18A">
      <w:start w:val="1"/>
      <w:numFmt w:val="lowerRoman"/>
      <w:lvlText w:val="%9"/>
      <w:lvlJc w:val="left"/>
      <w:pPr>
        <w:ind w:left="697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7CD951AA"/>
    <w:multiLevelType w:val="hybridMultilevel"/>
    <w:tmpl w:val="49022C4E"/>
    <w:lvl w:ilvl="0" w:tplc="F5C08D2A">
      <w:start w:val="1"/>
      <w:numFmt w:val="upperRoman"/>
      <w:lvlText w:val="%1"/>
      <w:lvlJc w:val="left"/>
      <w:pPr>
        <w:ind w:left="3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6E017B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62C2548">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3E04C38">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DD85B5E">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89AE78C">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F72FCC4">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1BA5558">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662D75E">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18055751">
    <w:abstractNumId w:val="4"/>
  </w:num>
  <w:num w:numId="2" w16cid:durableId="2134253939">
    <w:abstractNumId w:val="1"/>
  </w:num>
  <w:num w:numId="3" w16cid:durableId="1407147537">
    <w:abstractNumId w:val="7"/>
  </w:num>
  <w:num w:numId="4" w16cid:durableId="1117144581">
    <w:abstractNumId w:val="0"/>
  </w:num>
  <w:num w:numId="5" w16cid:durableId="762070417">
    <w:abstractNumId w:val="2"/>
  </w:num>
  <w:num w:numId="6" w16cid:durableId="1291083505">
    <w:abstractNumId w:val="5"/>
  </w:num>
  <w:num w:numId="7" w16cid:durableId="1544439284">
    <w:abstractNumId w:val="6"/>
  </w:num>
  <w:num w:numId="8" w16cid:durableId="844365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937"/>
    <w:rsid w:val="00516FD1"/>
    <w:rsid w:val="008039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har"/>
    <w:uiPriority w:val="9"/>
    <w:qFormat/>
    <w:pPr>
      <w:keepNext/>
      <w:keepLines/>
      <w:spacing w:after="0"/>
      <w:ind w:right="1"/>
      <w:jc w:val="right"/>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pacing w:after="0"/>
      <w:ind w:right="2998"/>
      <w:outlineLvl w:val="1"/>
    </w:pPr>
    <w:rPr>
      <w:rFonts w:ascii="Arial" w:eastAsia="Arial" w:hAnsi="Arial" w:cs="Arial"/>
      <w:b/>
      <w:color w:val="FFFFFF"/>
      <w:sz w:val="1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color w:val="FFFFFF"/>
      <w:sz w:val="19"/>
    </w:rPr>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jpg"/><Relationship Id="rId18" Type="http://schemas.openxmlformats.org/officeDocument/2006/relationships/header" Target="header5.xml"/><Relationship Id="rId26" Type="http://schemas.openxmlformats.org/officeDocument/2006/relationships/image" Target="media/image60.jpg"/><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7.jpg"/><Relationship Id="rId28" Type="http://schemas.openxmlformats.org/officeDocument/2006/relationships/image" Target="media/image80.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4.png"/><Relationship Id="rId2" Type="http://schemas.openxmlformats.org/officeDocument/2006/relationships/image" Target="media/image2.jpg"/><Relationship Id="rId20" Type="http://schemas.openxmlformats.org/officeDocument/2006/relationships/image" Target="media/image2.png"/><Relationship Id="rId1" Type="http://schemas.openxmlformats.org/officeDocument/2006/relationships/image" Target="media/image1.png"/><Relationship Id="rId19"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4.png"/><Relationship Id="rId2" Type="http://schemas.openxmlformats.org/officeDocument/2006/relationships/image" Target="media/image2.jpg"/><Relationship Id="rId20" Type="http://schemas.openxmlformats.org/officeDocument/2006/relationships/image" Target="media/image2.png"/><Relationship Id="rId1" Type="http://schemas.openxmlformats.org/officeDocument/2006/relationships/image" Target="media/image1.png"/><Relationship Id="rId19" Type="http://schemas.openxmlformats.org/officeDocument/2006/relationships/image" Target="media/image1.jp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4.png"/><Relationship Id="rId2" Type="http://schemas.openxmlformats.org/officeDocument/2006/relationships/image" Target="media/image2.jpg"/><Relationship Id="rId20" Type="http://schemas.openxmlformats.org/officeDocument/2006/relationships/image" Target="media/image2.png"/><Relationship Id="rId1" Type="http://schemas.openxmlformats.org/officeDocument/2006/relationships/image" Target="media/image1.png"/><Relationship Id="rId19"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3234</Words>
  <Characters>17467</Characters>
  <Application>Microsoft Office Word</Application>
  <DocSecurity>4</DocSecurity>
  <Lines>145</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2026-08-19T17:29:00Z</dcterms:created>
  <dcterms:modified xsi:type="dcterms:W3CDTF">2026-08-19T17:29:00Z</dcterms:modified>
</cp:coreProperties>
</file>