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4FBC" w:rsidRDefault="00997C05">
      <w:pPr>
        <w:spacing w:after="0" w:line="259" w:lineRule="auto"/>
        <w:ind w:left="0" w:firstLine="0"/>
        <w:jc w:val="center"/>
      </w:pPr>
      <w:r>
        <w:rPr>
          <w:b/>
          <w:color w:val="3826A2"/>
          <w:u w:val="single" w:color="3826A2"/>
        </w:rPr>
        <w:t xml:space="preserve"> LEI Nº 8859</w:t>
      </w:r>
      <w:r>
        <w:rPr>
          <w:b/>
          <w:color w:val="3826A2"/>
        </w:rPr>
        <w:t>,</w:t>
      </w:r>
      <w:r>
        <w:rPr>
          <w:b/>
          <w:color w:val="3826A2"/>
          <w:u w:val="single" w:color="3826A2"/>
        </w:rPr>
        <w:t xml:space="preserve"> DE 10 DE AGOSTO DE 2015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spacing w:after="10" w:line="237" w:lineRule="auto"/>
        <w:ind w:left="5102" w:firstLine="0"/>
      </w:pPr>
      <w:r>
        <w:rPr>
          <w:b/>
          <w:i/>
          <w:color w:val="993300"/>
        </w:rPr>
        <w:t>IMPLEMENTA O PROGRAMA DE REGULARIZAÇÃO DE EDIFICAÇÕES - PRE E</w:t>
      </w:r>
    </w:p>
    <w:p w:rsidR="00604FBC" w:rsidRDefault="00997C05">
      <w:pPr>
        <w:spacing w:after="0"/>
        <w:ind w:left="4180" w:firstLine="0"/>
        <w:jc w:val="right"/>
      </w:pPr>
      <w:r>
        <w:rPr>
          <w:b/>
          <w:i/>
          <w:color w:val="993300"/>
        </w:rPr>
        <w:t xml:space="preserve">ESTABELECE </w:t>
      </w:r>
      <w:r>
        <w:rPr>
          <w:b/>
          <w:i/>
          <w:color w:val="993300"/>
        </w:rPr>
        <w:tab/>
        <w:t xml:space="preserve">NORMAS </w:t>
      </w:r>
      <w:r>
        <w:rPr>
          <w:b/>
          <w:i/>
          <w:color w:val="993300"/>
        </w:rPr>
        <w:tab/>
        <w:t xml:space="preserve">E PROCEDIMENTOS, </w:t>
      </w:r>
      <w:r>
        <w:rPr>
          <w:b/>
          <w:i/>
          <w:color w:val="993300"/>
        </w:rPr>
        <w:tab/>
        <w:t xml:space="preserve">E </w:t>
      </w:r>
      <w:r>
        <w:rPr>
          <w:b/>
          <w:i/>
          <w:color w:val="993300"/>
        </w:rPr>
        <w:tab/>
        <w:t>DÁ OUTRAS PROVIDÊNCIAS.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-15" w:firstLine="1418"/>
      </w:pPr>
      <w:r>
        <w:rPr>
          <w:b/>
        </w:rPr>
        <w:t>O PREFEITO MUNICIPAL DE VITÓRIA, CAPITAL DO ESTADO DO ESPIRITO SANTO</w:t>
      </w:r>
      <w:r>
        <w:t xml:space="preserve">, faço saber que a Câmara Municipal aprovou e eu sanciono, na forma do </w:t>
      </w:r>
      <w:hyperlink r:id="rId7" w:anchor="a113_III">
        <w:r>
          <w:rPr>
            <w:color w:val="0000FF"/>
            <w:u w:val="single" w:color="0000FF"/>
          </w:rPr>
          <w:t>Art</w:t>
        </w:r>
        <w:r>
          <w:rPr>
            <w:color w:val="0000FF"/>
            <w:u w:val="single" w:color="0000FF"/>
          </w:rPr>
          <w:t xml:space="preserve">. </w:t>
        </w:r>
      </w:hyperlink>
      <w:hyperlink r:id="rId8" w:anchor="a113_III">
        <w:r>
          <w:rPr>
            <w:color w:val="0000FF"/>
            <w:u w:val="single" w:color="0000FF"/>
          </w:rPr>
          <w:t>113</w:t>
        </w:r>
      </w:hyperlink>
      <w:hyperlink r:id="rId9" w:anchor="a113_III">
        <w:r>
          <w:rPr>
            <w:color w:val="0000FF"/>
          </w:rPr>
          <w:t>,</w:t>
        </w:r>
      </w:hyperlink>
      <w:hyperlink r:id="rId10" w:anchor="a113_III">
        <w:r>
          <w:rPr>
            <w:color w:val="0000FF"/>
            <w:u w:val="single" w:color="0000FF"/>
          </w:rPr>
          <w:t xml:space="preserve"> </w:t>
        </w:r>
      </w:hyperlink>
      <w:hyperlink r:id="rId11" w:anchor="a113_III">
        <w:r>
          <w:rPr>
            <w:color w:val="0000FF"/>
            <w:u w:val="single" w:color="0000FF"/>
          </w:rPr>
          <w:t>inciso III</w:t>
        </w:r>
      </w:hyperlink>
      <w:hyperlink r:id="rId12" w:anchor="a113_III">
        <w:r>
          <w:rPr>
            <w:color w:val="0000FF"/>
          </w:rPr>
          <w:t>,</w:t>
        </w:r>
      </w:hyperlink>
      <w:hyperlink r:id="rId13" w:anchor="a113_III">
        <w:r>
          <w:rPr>
            <w:color w:val="0000FF"/>
            <w:u w:val="single" w:color="0000FF"/>
          </w:rPr>
          <w:t xml:space="preserve"> da Lei Or</w:t>
        </w:r>
      </w:hyperlink>
      <w:hyperlink r:id="rId14" w:anchor="a113_III">
        <w:r>
          <w:rPr>
            <w:color w:val="0000FF"/>
          </w:rPr>
          <w:t>g</w:t>
        </w:r>
      </w:hyperlink>
      <w:hyperlink r:id="rId15" w:anchor="a113_III">
        <w:r>
          <w:rPr>
            <w:color w:val="0000FF"/>
            <w:u w:val="single" w:color="0000FF"/>
          </w:rPr>
          <w:t xml:space="preserve">ânica do Município de </w:t>
        </w:r>
      </w:hyperlink>
      <w:hyperlink r:id="rId16" w:anchor="a113_III">
        <w:r>
          <w:rPr>
            <w:color w:val="0000FF"/>
            <w:u w:val="single" w:color="0000FF"/>
          </w:rPr>
          <w:t>Vitória</w:t>
        </w:r>
      </w:hyperlink>
      <w:r>
        <w:t>, a seguinte Lei: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-15" w:firstLine="1418"/>
      </w:pPr>
      <w:r>
        <w:rPr>
          <w:b/>
        </w:rPr>
        <w:t>Art. 1º</w:t>
      </w:r>
      <w:r>
        <w:t xml:space="preserve"> Fica im</w:t>
      </w:r>
      <w:r>
        <w:t xml:space="preserve">plementado o Programa de Regularização de Edificações - PRE, instituído pela </w:t>
      </w:r>
      <w:hyperlink r:id="rId17">
        <w:r>
          <w:rPr>
            <w:color w:val="0000FF"/>
            <w:u w:val="single" w:color="0000FF"/>
          </w:rPr>
          <w:t>Lei nº 4.821</w:t>
        </w:r>
      </w:hyperlink>
      <w:hyperlink r:id="rId18">
        <w:r>
          <w:rPr>
            <w:color w:val="0000FF"/>
          </w:rPr>
          <w:t>,</w:t>
        </w:r>
      </w:hyperlink>
      <w:hyperlink r:id="rId19">
        <w:r>
          <w:rPr>
            <w:color w:val="0000FF"/>
            <w:u w:val="single" w:color="0000FF"/>
          </w:rPr>
          <w:t xml:space="preserve"> de 30 de dezembro de 1998</w:t>
        </w:r>
      </w:hyperlink>
      <w:hyperlink r:id="rId20">
        <w:r>
          <w:t>,</w:t>
        </w:r>
      </w:hyperlink>
      <w:r>
        <w:t xml:space="preserve"> com o objetivo de estabelecer normas e procedimentos para a regularização das edificações conclu</w:t>
      </w:r>
      <w:r>
        <w:t>ídas até 31 de dezembro de 2011 e em condições de habitabilidade, que tenham sido construídas em desacordo com a legislação urbanística e/ou edilícia em vigor.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28"/>
      </w:pPr>
      <w:r>
        <w:rPr>
          <w:b/>
        </w:rPr>
        <w:t xml:space="preserve">Parágrafo Único. </w:t>
      </w:r>
      <w:r>
        <w:t>Caberá ao proprietário ou possuidor do imóvel</w:t>
      </w:r>
    </w:p>
    <w:p w:rsidR="00604FBC" w:rsidRDefault="00997C05">
      <w:pPr>
        <w:ind w:left="-5"/>
      </w:pPr>
      <w:r>
        <w:t>comprovar que a edificação esta</w:t>
      </w:r>
      <w:r>
        <w:t>va concluída até a data indicada no caput deste artigo.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-15" w:firstLine="1418"/>
      </w:pPr>
      <w:r>
        <w:rPr>
          <w:b/>
        </w:rPr>
        <w:t>Art. 2º</w:t>
      </w:r>
      <w:r>
        <w:t xml:space="preserve"> Fica constituída a Comissão Permanente do Programa de Regularização de Edificações - CPPRE, com a finalidade de coordenar e executar os atos necessários à regularização das edificações.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28"/>
      </w:pPr>
      <w:r>
        <w:rPr>
          <w:b/>
        </w:rPr>
        <w:t>Pa</w:t>
      </w:r>
      <w:r>
        <w:rPr>
          <w:b/>
        </w:rPr>
        <w:t xml:space="preserve">rágrafo Único. </w:t>
      </w:r>
      <w:r>
        <w:t>A composição e o funcionamento da CPPRE</w:t>
      </w:r>
    </w:p>
    <w:p w:rsidR="00604FBC" w:rsidRDefault="00997C05">
      <w:pPr>
        <w:ind w:left="-5"/>
      </w:pPr>
      <w:r>
        <w:t>serão regulamentados por ato do Chefe do Poder Executivo.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28"/>
      </w:pPr>
      <w:r>
        <w:rPr>
          <w:b/>
        </w:rPr>
        <w:t>Art. 3º</w:t>
      </w:r>
      <w:r>
        <w:t xml:space="preserve"> As edificações a serem regularizadas poderão ser objeto de</w:t>
      </w:r>
    </w:p>
    <w:p w:rsidR="00604FBC" w:rsidRDefault="00997C05">
      <w:pPr>
        <w:ind w:left="-5"/>
      </w:pPr>
      <w:r>
        <w:t>análise e decisão pela CPPRE, mediante requerimento específico feito pelo interessado.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28"/>
      </w:pPr>
      <w:r>
        <w:rPr>
          <w:b/>
        </w:rPr>
        <w:t xml:space="preserve">Parágrafo Único. </w:t>
      </w:r>
      <w:r>
        <w:t>O requerimento previsto neste artigo não possui</w:t>
      </w:r>
    </w:p>
    <w:p w:rsidR="00604FBC" w:rsidRDefault="00997C05">
      <w:pPr>
        <w:ind w:left="-5"/>
      </w:pPr>
      <w:r>
        <w:t>efeito suspensivo sob ações fiscais existentes.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28"/>
      </w:pPr>
      <w:r>
        <w:rPr>
          <w:b/>
        </w:rPr>
        <w:t xml:space="preserve">Art. 4º </w:t>
      </w:r>
      <w:r>
        <w:t>A CPPRE, através do relator designado para tal, emitirá</w:t>
      </w:r>
    </w:p>
    <w:p w:rsidR="00604FBC" w:rsidRDefault="00997C05">
      <w:pPr>
        <w:ind w:left="-5"/>
      </w:pPr>
      <w:r>
        <w:t>parecer técnico identificando a situação da edificação em face da legislação urbanística e edilícia municipal, as ações fiscais efetivadas pelo Município, os valores e a forma da contrapartida finance</w:t>
      </w:r>
      <w:r>
        <w:t>ira.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28"/>
      </w:pPr>
      <w:r>
        <w:rPr>
          <w:b/>
        </w:rPr>
        <w:t xml:space="preserve">Art. 5º </w:t>
      </w:r>
      <w:r>
        <w:t>Serão indeferidas pelo Município as solicitações de</w:t>
      </w:r>
    </w:p>
    <w:p w:rsidR="00604FBC" w:rsidRDefault="00997C05">
      <w:pPr>
        <w:ind w:left="-5"/>
      </w:pPr>
      <w:r>
        <w:t>regularização das edificações que: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numPr>
          <w:ilvl w:val="0"/>
          <w:numId w:val="1"/>
        </w:numPr>
        <w:ind w:firstLine="1418"/>
      </w:pPr>
      <w:r>
        <w:t>- extrapolarem a altura máxima da edificação, interferindo na</w:t>
      </w:r>
    </w:p>
    <w:p w:rsidR="00604FBC" w:rsidRDefault="00997C05">
      <w:pPr>
        <w:ind w:left="-5"/>
      </w:pPr>
      <w:r>
        <w:t>zona de proteção do Aeroporto de Vitória, nas áreas de ambiência e proteção da visibilidad</w:t>
      </w:r>
      <w:r>
        <w:t>e do Outeiro e Convento da Penha, ou ainda em quaisquer outras limitações dessa natureza, previstas em legislação especial;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numPr>
          <w:ilvl w:val="0"/>
          <w:numId w:val="1"/>
        </w:numPr>
        <w:ind w:firstLine="1418"/>
      </w:pPr>
      <w:r>
        <w:lastRenderedPageBreak/>
        <w:t>- invadirem logradouro público, áreas de preservação ou de</w:t>
      </w:r>
    </w:p>
    <w:p w:rsidR="00604FBC" w:rsidRDefault="00997C05">
      <w:pPr>
        <w:ind w:left="-5"/>
      </w:pPr>
      <w:r>
        <w:t>interesse ambiental;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numPr>
          <w:ilvl w:val="0"/>
          <w:numId w:val="1"/>
        </w:numPr>
        <w:ind w:firstLine="1418"/>
      </w:pPr>
      <w:r>
        <w:t>- estiverem situadas em áreas de risco, assim de</w:t>
      </w:r>
      <w:r>
        <w:t>finidos pelo Município;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numPr>
          <w:ilvl w:val="0"/>
          <w:numId w:val="1"/>
        </w:numPr>
        <w:ind w:firstLine="1418"/>
      </w:pPr>
      <w:r>
        <w:t>- desatenderem a termos de compromisso ou declaratórios</w:t>
      </w:r>
    </w:p>
    <w:p w:rsidR="00604FBC" w:rsidRDefault="00997C05">
      <w:pPr>
        <w:ind w:left="-5"/>
      </w:pPr>
      <w:r>
        <w:t>assinados com a Administração Municipal;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numPr>
          <w:ilvl w:val="0"/>
          <w:numId w:val="1"/>
        </w:numPr>
        <w:ind w:firstLine="1418"/>
      </w:pPr>
      <w:r>
        <w:t>- proporcionarem riscos quanto à estabilidade, segurança e</w:t>
      </w:r>
    </w:p>
    <w:p w:rsidR="00604FBC" w:rsidRDefault="00997C05">
      <w:pPr>
        <w:ind w:left="-5"/>
      </w:pPr>
      <w:r>
        <w:t>salubridade;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numPr>
          <w:ilvl w:val="0"/>
          <w:numId w:val="1"/>
        </w:numPr>
        <w:ind w:firstLine="1418"/>
      </w:pPr>
      <w:r>
        <w:t>- estiverem tombadas, em nível municipal, no grau de prot</w:t>
      </w:r>
      <w:r>
        <w:t>eção</w:t>
      </w:r>
    </w:p>
    <w:p w:rsidR="00604FBC" w:rsidRDefault="00997C05">
      <w:pPr>
        <w:ind w:left="-5"/>
      </w:pPr>
      <w:r>
        <w:t xml:space="preserve">integral primária - GP1, previsto na </w:t>
      </w:r>
      <w:hyperlink r:id="rId21">
        <w:r>
          <w:rPr>
            <w:color w:val="0000FF"/>
            <w:u w:val="single" w:color="0000FF"/>
          </w:rPr>
          <w:t>Lei nº 6.705</w:t>
        </w:r>
      </w:hyperlink>
      <w:hyperlink r:id="rId22">
        <w:r>
          <w:rPr>
            <w:color w:val="0000FF"/>
          </w:rPr>
          <w:t>,</w:t>
        </w:r>
      </w:hyperlink>
      <w:hyperlink r:id="rId23">
        <w:r>
          <w:rPr>
            <w:color w:val="0000FF"/>
            <w:u w:val="single" w:color="0000FF"/>
          </w:rPr>
          <w:t xml:space="preserve"> de 13 de outubro de 2006</w:t>
        </w:r>
      </w:hyperlink>
      <w:r>
        <w:t>;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numPr>
          <w:ilvl w:val="0"/>
          <w:numId w:val="1"/>
        </w:numPr>
        <w:ind w:firstLine="1418"/>
      </w:pPr>
      <w:r>
        <w:t>- estiverem identificadas como de interesse de preservação no</w:t>
      </w:r>
    </w:p>
    <w:p w:rsidR="00604FBC" w:rsidRDefault="00997C05">
      <w:pPr>
        <w:ind w:left="-5"/>
      </w:pPr>
      <w:r>
        <w:t>grau de proteção integral primária - GP1, previsto na Lei nº 6.705, de 2006.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28"/>
      </w:pPr>
      <w:r>
        <w:rPr>
          <w:b/>
        </w:rPr>
        <w:t xml:space="preserve">Parágrafo Único. </w:t>
      </w:r>
      <w:r>
        <w:t>Não serão regularizadas as edificações cujo uso</w:t>
      </w:r>
    </w:p>
    <w:p w:rsidR="00604FBC" w:rsidRDefault="00997C05">
      <w:pPr>
        <w:ind w:left="-5"/>
      </w:pPr>
      <w:r>
        <w:t>esteja proibido na zona em que estiverem localizadas, com exceção ao disposto no inciso IX, do Art.7º desta Lei.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28"/>
      </w:pPr>
      <w:r>
        <w:rPr>
          <w:b/>
        </w:rPr>
        <w:t xml:space="preserve">Art. 6º </w:t>
      </w:r>
      <w:r>
        <w:t>As edificações destinadas às atividades consideradas como</w:t>
      </w:r>
    </w:p>
    <w:p w:rsidR="00604FBC" w:rsidRDefault="00997C05">
      <w:pPr>
        <w:ind w:left="-5"/>
      </w:pPr>
      <w:r>
        <w:t>de uso tolerado e/ou especial, previstas no PDU, serão objeto de apreciação prévia pela Comissão Técnica de Análise de Impacto Urbano - CTA e as destinadas a Empreendimentos de Impacto de</w:t>
      </w:r>
      <w:r>
        <w:t xml:space="preserve"> Vizinhança, previstas no PDU, serão encaminhados ao Conselho Municipal do Plano Diretor Urbano - CMPDU.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28"/>
      </w:pPr>
      <w:r>
        <w:rPr>
          <w:b/>
        </w:rPr>
        <w:t xml:space="preserve">Art. 7º </w:t>
      </w:r>
      <w:r>
        <w:t>Poderão ser regularizadas as edificações que apresentarem</w:t>
      </w:r>
    </w:p>
    <w:p w:rsidR="00604FBC" w:rsidRDefault="00997C05">
      <w:pPr>
        <w:ind w:left="-5"/>
      </w:pPr>
      <w:r>
        <w:t>as seguintes condições: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numPr>
          <w:ilvl w:val="0"/>
          <w:numId w:val="2"/>
        </w:numPr>
        <w:ind w:hanging="491"/>
      </w:pPr>
      <w:r>
        <w:t>- vãos de iluminação e ventilação abertos a menos de l,50</w:t>
      </w:r>
      <w:r>
        <w:t>m (um</w:t>
      </w:r>
    </w:p>
    <w:p w:rsidR="00604FBC" w:rsidRDefault="00997C05">
      <w:pPr>
        <w:ind w:left="-5"/>
      </w:pPr>
      <w:r>
        <w:t>metro e cinqüenta centímetros) das divisas do terreno vizinho ou a menos de 0,75m (setenta e cinco centímetros) da perpendicular da divisa, desde que expressamente autorizados pelos proprietários ou possuidores vizinhos;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numPr>
          <w:ilvl w:val="0"/>
          <w:numId w:val="2"/>
        </w:numPr>
        <w:ind w:hanging="491"/>
      </w:pPr>
      <w:r>
        <w:t>- balanço máximo de l,00m (</w:t>
      </w:r>
      <w:r>
        <w:t>um metro) sobre logradouro</w:t>
      </w:r>
    </w:p>
    <w:p w:rsidR="00604FBC" w:rsidRDefault="00997C05">
      <w:pPr>
        <w:ind w:left="-5"/>
      </w:pPr>
      <w:r>
        <w:t>público, distando, no mínimo, 0,30m (trinta centímetros) do meio-fio;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numPr>
          <w:ilvl w:val="0"/>
          <w:numId w:val="2"/>
        </w:numPr>
        <w:ind w:hanging="491"/>
      </w:pPr>
      <w:r>
        <w:t>- que impliquem em alteração das frações ideais das unidades</w:t>
      </w:r>
    </w:p>
    <w:p w:rsidR="00604FBC" w:rsidRDefault="00997C05">
      <w:pPr>
        <w:ind w:left="-5"/>
      </w:pPr>
      <w:r>
        <w:t>autônomas, expressamente autorizadas pelo condomínio;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numPr>
          <w:ilvl w:val="0"/>
          <w:numId w:val="2"/>
        </w:numPr>
        <w:ind w:hanging="491"/>
      </w:pPr>
      <w:r>
        <w:t>- que estejam em desacordo com o alinham</w:t>
      </w:r>
      <w:r>
        <w:t>ento previsto, desde</w:t>
      </w:r>
    </w:p>
    <w:p w:rsidR="00604FBC" w:rsidRDefault="00997C05">
      <w:pPr>
        <w:ind w:left="-5"/>
      </w:pPr>
      <w:r>
        <w:t>que submetidos à apreciação prévia da CPPRE;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numPr>
          <w:ilvl w:val="0"/>
          <w:numId w:val="2"/>
        </w:numPr>
        <w:ind w:hanging="491"/>
      </w:pPr>
      <w:r>
        <w:t>- forem tombadas em nível municipal ou identificadas como de</w:t>
      </w:r>
    </w:p>
    <w:p w:rsidR="00604FBC" w:rsidRDefault="00997C05">
      <w:pPr>
        <w:ind w:left="-5"/>
      </w:pPr>
      <w:r>
        <w:t xml:space="preserve">interesse de preservação no grau de proteção integral secundária - GP2, previsto na Lei nº 6.705, de 2006, as quais deverão ser objeto, no seu exterior, de </w:t>
      </w:r>
      <w:r>
        <w:lastRenderedPageBreak/>
        <w:t>restauração total, incluindo fachadas e cobertura e, no seu interior, de adaptação às atividades des</w:t>
      </w:r>
      <w:r>
        <w:t>de que não prejudiquem seu exterior;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numPr>
          <w:ilvl w:val="0"/>
          <w:numId w:val="2"/>
        </w:numPr>
        <w:ind w:hanging="491"/>
      </w:pPr>
      <w:r>
        <w:t>- forem sujeitas ao tombamento vizinho, em nível municipal,</w:t>
      </w:r>
    </w:p>
    <w:p w:rsidR="00604FBC" w:rsidRDefault="00997C05">
      <w:pPr>
        <w:ind w:left="-5"/>
      </w:pPr>
      <w:r>
        <w:t>atendendo o disposto na legislação pertinente;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numPr>
          <w:ilvl w:val="0"/>
          <w:numId w:val="2"/>
        </w:numPr>
        <w:ind w:hanging="491"/>
      </w:pPr>
      <w:r>
        <w:t>- forem identificadas como de interesse de preservação no grau</w:t>
      </w:r>
    </w:p>
    <w:p w:rsidR="00604FBC" w:rsidRDefault="00997C05">
      <w:pPr>
        <w:ind w:left="-5"/>
      </w:pPr>
      <w:r>
        <w:t>de proteção do entorno GP3, previsto na Lei n</w:t>
      </w:r>
      <w:r>
        <w:t>º 6.705, de 2006, cuja reforma ou regularização mantenha a mesma volumetria e afastamentos e não</w:t>
      </w:r>
    </w:p>
    <w:p w:rsidR="00604FBC" w:rsidRDefault="00997C05">
      <w:pPr>
        <w:ind w:left="-5"/>
      </w:pPr>
      <w:r>
        <w:t>descaracterize ou prejudique as edificações objeto de proteção integral;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numPr>
          <w:ilvl w:val="0"/>
          <w:numId w:val="2"/>
        </w:numPr>
        <w:ind w:hanging="491"/>
      </w:pPr>
      <w:r>
        <w:t>- que apresentem mudança de uso, desde que as atividades</w:t>
      </w:r>
    </w:p>
    <w:p w:rsidR="00604FBC" w:rsidRDefault="00997C05">
      <w:pPr>
        <w:ind w:left="-5"/>
      </w:pPr>
      <w:r>
        <w:t>pretendidas sejam considera</w:t>
      </w:r>
      <w:r>
        <w:t>das como de uso permitido, tolerado e/ou especial, previstas na Lei nº 6.705, de 2006, observando o disposto no artigo 6º e demais disposições desta Lei.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numPr>
          <w:ilvl w:val="0"/>
          <w:numId w:val="2"/>
        </w:numPr>
        <w:ind w:hanging="491"/>
      </w:pPr>
      <w:r>
        <w:t>- as edificações com uso não residenciais que estejam</w:t>
      </w:r>
    </w:p>
    <w:p w:rsidR="00604FBC" w:rsidRDefault="00997C05">
      <w:pPr>
        <w:ind w:left="-5"/>
      </w:pPr>
      <w:r>
        <w:t xml:space="preserve">localizadas na ZOC2/04, desde que observado o </w:t>
      </w:r>
      <w:r>
        <w:t>disposto no Parágrafo único do Art. 1º desta Lei.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28"/>
      </w:pPr>
      <w:r>
        <w:rPr>
          <w:b/>
        </w:rPr>
        <w:t xml:space="preserve">Art. 8º </w:t>
      </w:r>
      <w:r>
        <w:t>Requerida a regularização da edificação, o Município</w:t>
      </w:r>
    </w:p>
    <w:p w:rsidR="00604FBC" w:rsidRDefault="00997C05">
      <w:pPr>
        <w:ind w:left="-5"/>
      </w:pPr>
      <w:r>
        <w:t>notificará o proprietário para adoção de providências que se fizerem indispensáveis.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28"/>
      </w:pPr>
      <w:r>
        <w:rPr>
          <w:b/>
        </w:rPr>
        <w:t>§ 1º</w:t>
      </w:r>
      <w:r>
        <w:t xml:space="preserve"> As adaptações necessárias nas edificações para aten</w:t>
      </w:r>
      <w:r>
        <w:t>dimento</w:t>
      </w:r>
    </w:p>
    <w:p w:rsidR="00604FBC" w:rsidRDefault="00997C05">
      <w:pPr>
        <w:ind w:left="-5"/>
      </w:pPr>
      <w:r>
        <w:t>às normas de acessibilidade, saúde pública, combate a incêndio e pânico e demais legislações municipal, estadual e federal, serão executadas após a emissão do respectivo alvará de autorização.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-15" w:firstLine="1418"/>
      </w:pPr>
      <w:r>
        <w:rPr>
          <w:b/>
        </w:rPr>
        <w:t>§ 2º</w:t>
      </w:r>
      <w:r>
        <w:t xml:space="preserve"> Nos casos previstos nos incisos V, VI e VII do artigo 7º desta Lei, após a realização e/ou execução das providências a que se refere este artigo, as edificações deverão ser submetidas ã vistoria do órgão municipal competente.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28"/>
      </w:pPr>
      <w:r>
        <w:rPr>
          <w:b/>
        </w:rPr>
        <w:t>§ 3º</w:t>
      </w:r>
      <w:r>
        <w:t xml:space="preserve"> O deferimento da regul</w:t>
      </w:r>
      <w:r>
        <w:t>arização, nos casos previstos nos</w:t>
      </w:r>
    </w:p>
    <w:p w:rsidR="00604FBC" w:rsidRDefault="00997C05">
      <w:pPr>
        <w:ind w:left="-5"/>
      </w:pPr>
      <w:r>
        <w:t>incisos V, VI e VII do artigo 7º desta Lei, fica vinculado a parecer favorável emitido pelo órgão municipal competente.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28"/>
      </w:pPr>
      <w:r>
        <w:rPr>
          <w:b/>
        </w:rPr>
        <w:t xml:space="preserve">Art. 9º </w:t>
      </w:r>
      <w:r>
        <w:t>É permitida a regularização de uma ou mais unidades</w:t>
      </w:r>
    </w:p>
    <w:p w:rsidR="00604FBC" w:rsidRDefault="00997C05">
      <w:pPr>
        <w:ind w:left="-5"/>
      </w:pPr>
      <w:r>
        <w:t>autônomas, separadamente, na mesma edifi</w:t>
      </w:r>
      <w:r>
        <w:t>cação, desde que as unidades autônomas não objeto da regularização estejam de acordo com o projeto aprovado.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28"/>
      </w:pPr>
      <w:r>
        <w:rPr>
          <w:b/>
        </w:rPr>
        <w:t>Art. 10.</w:t>
      </w:r>
      <w:r>
        <w:t xml:space="preserve"> Após parecer favorável do relator da CPPRE, a edificação</w:t>
      </w:r>
    </w:p>
    <w:p w:rsidR="00604FBC" w:rsidRDefault="00997C05">
      <w:pPr>
        <w:ind w:left="-5"/>
      </w:pPr>
      <w:r>
        <w:t xml:space="preserve">será regularizada pelo Município, podendo ser fornecido o Alvará de Aprovação, </w:t>
      </w:r>
      <w:r>
        <w:t>Certificado de Conclusão e Certidão.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28"/>
      </w:pPr>
      <w:r>
        <w:rPr>
          <w:b/>
        </w:rPr>
        <w:t xml:space="preserve">Parágrafo Único. </w:t>
      </w:r>
      <w:r>
        <w:t>O pagamento da contrapartida financeira para a</w:t>
      </w:r>
    </w:p>
    <w:p w:rsidR="00604FBC" w:rsidRDefault="00997C05">
      <w:pPr>
        <w:ind w:left="-5"/>
      </w:pPr>
      <w:r>
        <w:t>regularização será feito sem prejuízo do pagamento das taxas e das multas impostas.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28"/>
      </w:pPr>
      <w:r>
        <w:rPr>
          <w:b/>
        </w:rPr>
        <w:t xml:space="preserve">Art. 11. </w:t>
      </w:r>
      <w:r>
        <w:t>A contrapartida financeira prevista nesta Lei poderá ser</w:t>
      </w:r>
    </w:p>
    <w:p w:rsidR="00604FBC" w:rsidRDefault="00997C05">
      <w:pPr>
        <w:ind w:left="-5"/>
      </w:pPr>
      <w:r>
        <w:t>f</w:t>
      </w:r>
      <w:r>
        <w:t>eita da seguinte forma: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numPr>
          <w:ilvl w:val="0"/>
          <w:numId w:val="3"/>
        </w:numPr>
        <w:ind w:firstLine="1418"/>
      </w:pPr>
      <w:r>
        <w:t>- pecuniariamente;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numPr>
          <w:ilvl w:val="0"/>
          <w:numId w:val="3"/>
        </w:numPr>
        <w:ind w:firstLine="1418"/>
      </w:pPr>
      <w:r>
        <w:t>- através de dação de bens imóveis situados no Município de Vitória, mediante avaliação e aceitação pelo Poder Público Municipal.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28"/>
      </w:pPr>
      <w:r>
        <w:rPr>
          <w:b/>
        </w:rPr>
        <w:t>Art. 12.</w:t>
      </w:r>
      <w:r>
        <w:t xml:space="preserve"> A gravidade da irregularidade irá determinar o montante</w:t>
      </w:r>
    </w:p>
    <w:p w:rsidR="00604FBC" w:rsidRDefault="00997C05">
      <w:pPr>
        <w:ind w:left="-5"/>
      </w:pPr>
      <w:r>
        <w:t>da contrapar</w:t>
      </w:r>
      <w:r>
        <w:t>tida financeira e terá a seguinte classificação: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numPr>
          <w:ilvl w:val="0"/>
          <w:numId w:val="4"/>
        </w:numPr>
        <w:ind w:firstLine="1418"/>
      </w:pPr>
      <w:r>
        <w:t>- gravidade I: não atendimento ao disposto na Lei nº 6.705, de2006, e suas revisões quanto ao coeficiente de aproveitamento, gabarito, altura da edificação e vagas de veículos;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numPr>
          <w:ilvl w:val="0"/>
          <w:numId w:val="4"/>
        </w:numPr>
        <w:ind w:firstLine="1418"/>
      </w:pPr>
      <w:r>
        <w:t>- gravidade II: não atendimento aos demais índices do PDU;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numPr>
          <w:ilvl w:val="0"/>
          <w:numId w:val="4"/>
        </w:numPr>
        <w:ind w:firstLine="1418"/>
      </w:pPr>
      <w:r>
        <w:t>- gravidade III:</w:t>
      </w:r>
      <w:r>
        <w:t xml:space="preserve"> não atendimento ao disposto no CE, quanto aos</w:t>
      </w:r>
    </w:p>
    <w:p w:rsidR="00604FBC" w:rsidRDefault="00997C05">
      <w:pPr>
        <w:ind w:left="-5"/>
      </w:pPr>
      <w:r>
        <w:t>elementos da edificação.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28"/>
      </w:pPr>
      <w:r>
        <w:rPr>
          <w:b/>
        </w:rPr>
        <w:t>Art. 13.</w:t>
      </w:r>
      <w:r>
        <w:t xml:space="preserve"> As contrapartidas financeiras referidas no artigo anterior</w:t>
      </w:r>
    </w:p>
    <w:p w:rsidR="00604FBC" w:rsidRDefault="00997C05">
      <w:pPr>
        <w:ind w:left="-5"/>
      </w:pPr>
      <w:r>
        <w:t>variarão de 20% (vinte por cento) a 5% (cinco por cento) e serão regulamentadas por ato do Chefe do Poder Executiv</w:t>
      </w:r>
      <w:r>
        <w:t>o, considerando-se o valor venal do metro quadrado da edificação, apurados pelo critério da planta genérica de valores imobiliários utilizada para cálculo do Imposto Predial e Territorial Urbano - IPTU, aplicado sobre a totalidade da área irregularmente co</w:t>
      </w:r>
      <w:r>
        <w:t>nstruída.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28"/>
      </w:pPr>
      <w:r>
        <w:rPr>
          <w:b/>
        </w:rPr>
        <w:t>§ 1º</w:t>
      </w:r>
      <w:r>
        <w:t xml:space="preserve"> Haverá uma redução de 50% (cinqüenta por cento) no</w:t>
      </w:r>
    </w:p>
    <w:p w:rsidR="00604FBC" w:rsidRDefault="00997C05">
      <w:pPr>
        <w:ind w:left="-5"/>
      </w:pPr>
      <w:r>
        <w:t>montante da contrapartida financeira quando se tratar de residência unifamiliar, devendo esse benefício ser anotado no Certificado de Conclusão.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28"/>
      </w:pPr>
      <w:r>
        <w:rPr>
          <w:b/>
        </w:rPr>
        <w:t>§ 2º</w:t>
      </w:r>
      <w:r>
        <w:t xml:space="preserve"> Quando se tratar de mudança de uso d</w:t>
      </w:r>
      <w:r>
        <w:t>e imóvel beneficiado</w:t>
      </w:r>
    </w:p>
    <w:p w:rsidR="00604FBC" w:rsidRDefault="00997C05">
      <w:pPr>
        <w:ind w:left="-5"/>
      </w:pPr>
      <w:r>
        <w:t>com a aplicação do parágrafo anterior, a diferença da contrapartida financeira deverá ser paga para a obtenção do Alvará de Aprovação ou do Certificado de Mudança de Uso.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28"/>
      </w:pPr>
      <w:r>
        <w:rPr>
          <w:b/>
        </w:rPr>
        <w:t>§ 3º</w:t>
      </w:r>
      <w:r>
        <w:t xml:space="preserve"> Nos casos previstos no inciso VIII do Art. 7º desta Lei, </w:t>
      </w:r>
      <w:r>
        <w:t>o valor</w:t>
      </w:r>
    </w:p>
    <w:p w:rsidR="00604FBC" w:rsidRDefault="00997C05">
      <w:pPr>
        <w:ind w:left="-5"/>
      </w:pPr>
      <w:r>
        <w:t>da contrapartida financeira será calculado sobre a área irregularmente edificada acrescida da área geradora do número de vagas de estacionamento obrigatórias que não forem disponibilizadas, nos termos da Lei nº 6.705, de 2006, e da Lei nº 4.821, de 1998.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28"/>
      </w:pPr>
      <w:r>
        <w:rPr>
          <w:b/>
        </w:rPr>
        <w:t xml:space="preserve">§ 4º </w:t>
      </w:r>
      <w:r>
        <w:t>Nos casos em que fique comprovado que houve resistência ou</w:t>
      </w:r>
    </w:p>
    <w:p w:rsidR="00604FBC" w:rsidRDefault="00997C05">
      <w:pPr>
        <w:ind w:left="-5"/>
      </w:pPr>
      <w:r>
        <w:t>desobediência às ações da fiscalização, os valores das contrapartidas financeiras serão acrescidos de 30% (trinta por cento), sem prejuízo das possíveis ações criminais decorrentes dos atos i</w:t>
      </w:r>
      <w:r>
        <w:t>lícitos praticados pelo proprietário e/ou responsável técnico pela edificação.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28"/>
      </w:pPr>
      <w:r>
        <w:rPr>
          <w:b/>
        </w:rPr>
        <w:t xml:space="preserve">§ 5º </w:t>
      </w:r>
      <w:r>
        <w:t>Quando se tratar de edificações regularizadas anteriormente a</w:t>
      </w:r>
    </w:p>
    <w:p w:rsidR="00604FBC" w:rsidRDefault="00997C05">
      <w:pPr>
        <w:ind w:left="-5"/>
      </w:pPr>
      <w:r>
        <w:t>esta Lei através dos Programas de Regularização de Edificações, os valores das contrapartidas financeiras se</w:t>
      </w:r>
      <w:r>
        <w:t>rão calculados em dobro.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28"/>
      </w:pPr>
      <w:r>
        <w:rPr>
          <w:b/>
        </w:rPr>
        <w:t xml:space="preserve">Art. 14. </w:t>
      </w:r>
      <w:r>
        <w:t>Ficam isentas do pagamento da contrapartida financeira</w:t>
      </w:r>
    </w:p>
    <w:p w:rsidR="00604FBC" w:rsidRDefault="00997C05">
      <w:pPr>
        <w:ind w:left="-5"/>
      </w:pPr>
      <w:r>
        <w:t>prevista no artigo anterior as edificações: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numPr>
          <w:ilvl w:val="0"/>
          <w:numId w:val="5"/>
        </w:numPr>
        <w:ind w:hanging="382"/>
      </w:pPr>
      <w:r>
        <w:t>- de relevante interesse público;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numPr>
          <w:ilvl w:val="0"/>
          <w:numId w:val="5"/>
        </w:numPr>
        <w:ind w:hanging="382"/>
      </w:pPr>
      <w:r>
        <w:t>- de moradia popular, previstas no CE;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numPr>
          <w:ilvl w:val="0"/>
          <w:numId w:val="5"/>
        </w:numPr>
        <w:ind w:hanging="382"/>
      </w:pPr>
      <w:r>
        <w:t>- residenciais localizadas nas Zonas de Interesse Social - ZEIS</w:t>
      </w:r>
    </w:p>
    <w:p w:rsidR="00604FBC" w:rsidRDefault="00997C05">
      <w:pPr>
        <w:ind w:left="-5"/>
      </w:pPr>
      <w:r>
        <w:t>ou na Área Especial de Intervenção Urbana - Área 01, previstas no PDU, nas poligonais do Projeto Terra ou em lotes originados de programas de regularização fundiária pelo Poder Público Municip</w:t>
      </w:r>
      <w:r>
        <w:t>al;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numPr>
          <w:ilvl w:val="0"/>
          <w:numId w:val="5"/>
        </w:numPr>
        <w:ind w:hanging="382"/>
      </w:pPr>
      <w:r>
        <w:t>- comerciais localizadas nas Zonas de Interesse Social - ZEIS e</w:t>
      </w:r>
    </w:p>
    <w:p w:rsidR="00604FBC" w:rsidRDefault="00997C05">
      <w:pPr>
        <w:ind w:left="-5"/>
      </w:pPr>
      <w:r>
        <w:t>na Área de Intervenção Urbana - Área 01, previstas no PDU, nas poligonais do Projeto Terra ou em lotes originados de programas de regularização fundiária pelo Poder Público Municipal, pa</w:t>
      </w:r>
      <w:r>
        <w:t>ra área total a ser regularizada até 600,00m2 (seiscentos metros quadrados);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numPr>
          <w:ilvl w:val="0"/>
          <w:numId w:val="5"/>
        </w:numPr>
        <w:ind w:hanging="382"/>
      </w:pPr>
      <w:r>
        <w:t>- de propriedade das Associações de Moradores, Culturais e</w:t>
      </w:r>
    </w:p>
    <w:p w:rsidR="00604FBC" w:rsidRDefault="00997C05">
      <w:pPr>
        <w:ind w:left="-5"/>
      </w:pPr>
      <w:r>
        <w:t>esportivas, destinadas à localização de suas sedes e ao desenvolvimento de suas atividades fim, com área total edifica</w:t>
      </w:r>
      <w:r>
        <w:t>da de até 600,00m2 (seiscentos metros quadrados);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numPr>
          <w:ilvl w:val="0"/>
          <w:numId w:val="5"/>
        </w:numPr>
        <w:ind w:hanging="382"/>
      </w:pPr>
      <w:r>
        <w:t>- de propriedade de instituições religiosas de qualquer credo,</w:t>
      </w:r>
    </w:p>
    <w:p w:rsidR="00604FBC" w:rsidRDefault="00997C05">
      <w:pPr>
        <w:ind w:left="-5"/>
      </w:pPr>
      <w:r>
        <w:t xml:space="preserve">destinadas à localização de seus templos Religiosos e seus anexos, desde que situados no mesmo terreno, podendo este ser compreendido por um </w:t>
      </w:r>
      <w:r>
        <w:t>ou mais lotes;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numPr>
          <w:ilvl w:val="0"/>
          <w:numId w:val="5"/>
        </w:numPr>
        <w:ind w:hanging="382"/>
      </w:pPr>
      <w:r>
        <w:t>- de propriedade das Instituições Públicas Municipais, Estaduais</w:t>
      </w:r>
    </w:p>
    <w:p w:rsidR="00604FBC" w:rsidRDefault="00997C05">
      <w:pPr>
        <w:ind w:left="-5"/>
      </w:pPr>
      <w:r>
        <w:t>e Federais, destinadas à atividade pública correspondente;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28"/>
      </w:pPr>
      <w:r>
        <w:t>VIII - as arroladas nos incisos V, VI e VII do artigo 7º desta Lei.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28"/>
      </w:pPr>
      <w:r>
        <w:rPr>
          <w:b/>
        </w:rPr>
        <w:t>§ 1º</w:t>
      </w:r>
      <w:r>
        <w:t xml:space="preserve"> No caso dos imóveis arrolados no incis</w:t>
      </w:r>
      <w:r>
        <w:t>o IV deste artigo, caso</w:t>
      </w:r>
    </w:p>
    <w:p w:rsidR="00604FBC" w:rsidRDefault="00997C05">
      <w:pPr>
        <w:ind w:left="-5"/>
      </w:pPr>
      <w:r>
        <w:t>tenham área superior ao limite estabelecido, a cobrança da contrapartida financeira recairá sobre a parte que exceder os 600,00m2 (seiscentos metros quadrados).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28"/>
      </w:pPr>
      <w:r>
        <w:rPr>
          <w:b/>
        </w:rPr>
        <w:t>§ 2º</w:t>
      </w:r>
      <w:r>
        <w:t xml:space="preserve"> Os proprietários dos imóveis arrolados no inciso VIII deste</w:t>
      </w:r>
    </w:p>
    <w:p w:rsidR="00604FBC" w:rsidRDefault="00997C05">
      <w:pPr>
        <w:ind w:left="-5"/>
      </w:pPr>
      <w:r>
        <w:t>artigo deverão, obrigatoriam</w:t>
      </w:r>
      <w:r>
        <w:t>ente, promover a recuperação/restauração dos mesmos, de acordo com a legislação pertinente, como condição indispensável ao deferimento da regularização.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28"/>
      </w:pPr>
      <w:r>
        <w:rPr>
          <w:b/>
        </w:rPr>
        <w:t>Art. 15.</w:t>
      </w:r>
      <w:r>
        <w:t xml:space="preserve"> Das decisões da CPPRE, relativas a esta Lei, caberá</w:t>
      </w:r>
    </w:p>
    <w:p w:rsidR="00604FBC" w:rsidRDefault="00997C05">
      <w:pPr>
        <w:ind w:left="-5"/>
      </w:pPr>
      <w:r>
        <w:t>recurso ao Secretário Municipal de Desen</w:t>
      </w:r>
      <w:r>
        <w:t>volvimento da Cidade, no prazo de até 20 (vinte) dias após a notificação.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28"/>
      </w:pPr>
      <w:r>
        <w:rPr>
          <w:b/>
        </w:rPr>
        <w:t xml:space="preserve">Parágrafo Único. </w:t>
      </w:r>
      <w:r>
        <w:t>O recurso se aterá exclusivamente à</w:t>
      </w:r>
    </w:p>
    <w:p w:rsidR="00604FBC" w:rsidRDefault="00997C05">
      <w:pPr>
        <w:ind w:left="-5"/>
      </w:pPr>
      <w:r>
        <w:t>possibilidade ou não da regularização da edificação, devendo ser respeitados os valores e a forma de pagamento da contrapartida</w:t>
      </w:r>
      <w:r>
        <w:t xml:space="preserve"> financeira e as adaptações previstas no parecer técnico da CPPRE.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28"/>
      </w:pPr>
      <w:r>
        <w:rPr>
          <w:b/>
        </w:rPr>
        <w:t>Art. 16.</w:t>
      </w:r>
      <w:r>
        <w:t xml:space="preserve"> Nas edificações cuja irregularidade seja a falta de vagas</w:t>
      </w:r>
    </w:p>
    <w:p w:rsidR="00604FBC" w:rsidRDefault="00997C05">
      <w:pPr>
        <w:ind w:left="-5"/>
      </w:pPr>
      <w:r>
        <w:t>de estacionamento exigidas na Lei nº 6.705, de 2006, a contrapartida financeira poderá ser reduzida em até 50% (cinqüenta por cento) desde que as vagas estejam disponibilizadas em terreno não contíguo, distante no máximo 200m (duzentos metros) da edificaçã</w:t>
      </w:r>
      <w:r>
        <w:t>o objeto da regularização, e que esteja vinculado à mesma no Cartório de Registro Geral de Imóveis e gravado no Certificado de Conclusão.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28"/>
      </w:pPr>
      <w:r>
        <w:rPr>
          <w:b/>
        </w:rPr>
        <w:t>Art. 17.</w:t>
      </w:r>
      <w:r>
        <w:t xml:space="preserve"> Esta Lei não se aplica a regularização de parcelamento do</w:t>
      </w:r>
    </w:p>
    <w:p w:rsidR="00604FBC" w:rsidRDefault="00997C05">
      <w:pPr>
        <w:ind w:left="-5"/>
      </w:pPr>
      <w:r>
        <w:t>solo.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28"/>
      </w:pPr>
      <w:r>
        <w:rPr>
          <w:b/>
        </w:rPr>
        <w:t>Art. 18.</w:t>
      </w:r>
      <w:r>
        <w:t xml:space="preserve"> Esta Lei se aplica aos processos</w:t>
      </w:r>
      <w:r>
        <w:t xml:space="preserve"> em tramitação.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28"/>
      </w:pPr>
      <w:r>
        <w:rPr>
          <w:b/>
        </w:rPr>
        <w:t>Art. 19.</w:t>
      </w:r>
      <w:r>
        <w:t xml:space="preserve"> Esta Lei entra em vigor na data de sua publicação.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spacing w:after="0" w:line="237" w:lineRule="auto"/>
        <w:ind w:left="0" w:firstLine="1418"/>
        <w:jc w:val="left"/>
      </w:pPr>
      <w:r>
        <w:rPr>
          <w:b/>
        </w:rPr>
        <w:t>Art. 20.</w:t>
      </w:r>
      <w:r>
        <w:t xml:space="preserve"> Ficam revogadas as </w:t>
      </w:r>
      <w:hyperlink r:id="rId24">
        <w:r>
          <w:rPr>
            <w:color w:val="0000FF"/>
            <w:u w:val="single" w:color="0000FF"/>
          </w:rPr>
          <w:t>Leis nº 8.220</w:t>
        </w:r>
      </w:hyperlink>
      <w:hyperlink r:id="rId25">
        <w:r>
          <w:rPr>
            <w:color w:val="0000FF"/>
          </w:rPr>
          <w:t>,</w:t>
        </w:r>
      </w:hyperlink>
      <w:hyperlink r:id="rId26">
        <w:r>
          <w:rPr>
            <w:color w:val="0000FF"/>
            <w:u w:val="single" w:color="0000FF"/>
          </w:rPr>
          <w:t xml:space="preserve"> de 10 de </w:t>
        </w:r>
        <w:r>
          <w:rPr>
            <w:color w:val="0000FF"/>
            <w:u w:val="single" w:color="0000FF"/>
          </w:rPr>
          <w:t xml:space="preserve">fevereiro de </w:t>
        </w:r>
      </w:hyperlink>
      <w:hyperlink r:id="rId27">
        <w:r>
          <w:rPr>
            <w:color w:val="0000FF"/>
            <w:u w:val="single" w:color="0000FF"/>
          </w:rPr>
          <w:t>2012</w:t>
        </w:r>
      </w:hyperlink>
      <w:hyperlink r:id="rId28">
        <w:r>
          <w:t>,</w:t>
        </w:r>
      </w:hyperlink>
      <w:hyperlink r:id="rId29">
        <w:r>
          <w:t xml:space="preserve"> </w:t>
        </w:r>
      </w:hyperlink>
      <w:hyperlink r:id="rId30">
        <w:r>
          <w:rPr>
            <w:color w:val="0000FF"/>
            <w:u w:val="single" w:color="0000FF"/>
          </w:rPr>
          <w:t>8.416</w:t>
        </w:r>
      </w:hyperlink>
      <w:hyperlink r:id="rId31">
        <w:r>
          <w:rPr>
            <w:color w:val="0000FF"/>
          </w:rPr>
          <w:t>,</w:t>
        </w:r>
      </w:hyperlink>
      <w:hyperlink r:id="rId32">
        <w:r>
          <w:rPr>
            <w:color w:val="0000FF"/>
            <w:u w:val="single" w:color="0000FF"/>
          </w:rPr>
          <w:t xml:space="preserve"> de 07 de mar</w:t>
        </w:r>
      </w:hyperlink>
      <w:hyperlink r:id="rId33">
        <w:r>
          <w:rPr>
            <w:color w:val="0000FF"/>
          </w:rPr>
          <w:t>ç</w:t>
        </w:r>
      </w:hyperlink>
      <w:hyperlink r:id="rId34">
        <w:r>
          <w:rPr>
            <w:color w:val="0000FF"/>
            <w:u w:val="single" w:color="0000FF"/>
          </w:rPr>
          <w:t>o de 2013</w:t>
        </w:r>
      </w:hyperlink>
      <w:r>
        <w:t xml:space="preserve">, e </w:t>
      </w:r>
      <w:hyperlink r:id="rId35">
        <w:r>
          <w:rPr>
            <w:color w:val="0000FF"/>
            <w:u w:val="single" w:color="0000FF"/>
          </w:rPr>
          <w:t>8.802</w:t>
        </w:r>
      </w:hyperlink>
      <w:hyperlink r:id="rId36">
        <w:r>
          <w:rPr>
            <w:color w:val="0000FF"/>
          </w:rPr>
          <w:t>,</w:t>
        </w:r>
      </w:hyperlink>
      <w:hyperlink r:id="rId37">
        <w:r>
          <w:rPr>
            <w:color w:val="0000FF"/>
            <w:u w:val="single" w:color="0000FF"/>
          </w:rPr>
          <w:t xml:space="preserve"> de 17 de mar</w:t>
        </w:r>
      </w:hyperlink>
      <w:hyperlink r:id="rId38">
        <w:r>
          <w:rPr>
            <w:color w:val="0000FF"/>
          </w:rPr>
          <w:t>ç</w:t>
        </w:r>
      </w:hyperlink>
      <w:hyperlink r:id="rId39">
        <w:r>
          <w:rPr>
            <w:color w:val="0000FF"/>
            <w:u w:val="single" w:color="0000FF"/>
          </w:rPr>
          <w:t>o de 2015</w:t>
        </w:r>
      </w:hyperlink>
      <w:hyperlink r:id="rId40">
        <w:r>
          <w:t>.</w:t>
        </w:r>
      </w:hyperlink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ind w:left="1432"/>
      </w:pPr>
      <w:r>
        <w:t>Palácio Jerônimo Monteiro, em 10 de agosto de 2015.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spacing w:after="0" w:line="259" w:lineRule="auto"/>
        <w:jc w:val="center"/>
      </w:pPr>
      <w:r>
        <w:rPr>
          <w:b/>
        </w:rPr>
        <w:t>LUCIANO SANTOS REZENDE</w:t>
      </w:r>
    </w:p>
    <w:p w:rsidR="00604FBC" w:rsidRDefault="00997C05">
      <w:pPr>
        <w:spacing w:after="0" w:line="259" w:lineRule="auto"/>
        <w:jc w:val="center"/>
      </w:pPr>
      <w:r>
        <w:rPr>
          <w:b/>
        </w:rPr>
        <w:t>PREFEITO MUNICIPAL</w:t>
      </w:r>
    </w:p>
    <w:p w:rsidR="00604FBC" w:rsidRDefault="00997C05">
      <w:pPr>
        <w:spacing w:after="0" w:line="259" w:lineRule="auto"/>
        <w:ind w:left="1418" w:firstLine="0"/>
        <w:jc w:val="left"/>
      </w:pPr>
      <w:r>
        <w:t xml:space="preserve"> </w:t>
      </w:r>
    </w:p>
    <w:p w:rsidR="00604FBC" w:rsidRDefault="00997C05">
      <w:pPr>
        <w:spacing w:after="0" w:line="237" w:lineRule="auto"/>
        <w:ind w:left="2587" w:hanging="734"/>
        <w:jc w:val="left"/>
      </w:pPr>
      <w:r>
        <w:rPr>
          <w:color w:val="FF0000"/>
        </w:rPr>
        <w:t>Este texto não substitui o original publicado e arquivado na Prefeitura Municipal de Vitória.</w:t>
      </w:r>
    </w:p>
    <w:sectPr w:rsidR="00604FBC">
      <w:headerReference w:type="even" r:id="rId41"/>
      <w:headerReference w:type="default" r:id="rId42"/>
      <w:footerReference w:type="even" r:id="rId43"/>
      <w:footerReference w:type="default" r:id="rId44"/>
      <w:headerReference w:type="first" r:id="rId45"/>
      <w:footerReference w:type="first" r:id="rId46"/>
      <w:pgSz w:w="11899" w:h="16838"/>
      <w:pgMar w:top="1452" w:right="1819" w:bottom="1511" w:left="1815" w:header="334" w:footer="2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997C05">
      <w:pPr>
        <w:spacing w:after="0" w:line="240" w:lineRule="auto"/>
      </w:pPr>
      <w:r>
        <w:separator/>
      </w:r>
    </w:p>
  </w:endnote>
  <w:endnote w:type="continuationSeparator" w:id="0">
    <w:p w:rsidR="00000000" w:rsidRDefault="00997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4FBC" w:rsidRDefault="00997C05">
    <w:pPr>
      <w:tabs>
        <w:tab w:val="right" w:pos="9611"/>
      </w:tabs>
      <w:spacing w:after="0" w:line="259" w:lineRule="auto"/>
      <w:ind w:left="-1335" w:right="-1346" w:firstLine="0"/>
      <w:jc w:val="left"/>
    </w:pPr>
    <w:r>
      <w:rPr>
        <w:rFonts w:ascii="Arial" w:eastAsia="Arial" w:hAnsi="Arial" w:cs="Arial"/>
        <w:sz w:val="16"/>
      </w:rPr>
      <w:t>https://camarasempapel.cmv.es.gov.br/Arquivo/Documents/legislacao/html/L88592015.html?identificador=38003800360038003A004C00&amp;utm_so</w:t>
    </w:r>
    <w:r>
      <w:rPr>
        <w:rFonts w:ascii="Arial" w:eastAsia="Arial" w:hAnsi="Arial" w:cs="Arial"/>
        <w:sz w:val="16"/>
      </w:rPr>
      <w:t>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5</w:t>
    </w:r>
    <w:r>
      <w:rPr>
        <w:rFonts w:ascii="Arial" w:eastAsia="Arial" w:hAnsi="Arial" w:cs="Arial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4FBC" w:rsidRDefault="00997C05">
    <w:pPr>
      <w:tabs>
        <w:tab w:val="right" w:pos="9611"/>
      </w:tabs>
      <w:spacing w:after="0" w:line="259" w:lineRule="auto"/>
      <w:ind w:left="-1335" w:right="-1346" w:firstLine="0"/>
      <w:jc w:val="left"/>
    </w:pPr>
    <w:r>
      <w:rPr>
        <w:rFonts w:ascii="Arial" w:eastAsia="Arial" w:hAnsi="Arial" w:cs="Arial"/>
        <w:sz w:val="16"/>
      </w:rPr>
      <w:t>https://camarasempapel.cmv.es.gov.br/Arquivo/Documents/legislacao/html/L88592015.html?identificador=38003800360038003A004C00&amp;utm_so…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5</w:t>
    </w:r>
    <w:r>
      <w:rPr>
        <w:rFonts w:ascii="Arial" w:eastAsia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4FBC" w:rsidRDefault="00997C05">
    <w:pPr>
      <w:tabs>
        <w:tab w:val="right" w:pos="9611"/>
      </w:tabs>
      <w:spacing w:after="0" w:line="259" w:lineRule="auto"/>
      <w:ind w:left="-1335" w:right="-1346" w:firstLine="0"/>
      <w:jc w:val="left"/>
    </w:pPr>
    <w:r>
      <w:rPr>
        <w:rFonts w:ascii="Arial" w:eastAsia="Arial" w:hAnsi="Arial" w:cs="Arial"/>
        <w:sz w:val="16"/>
      </w:rPr>
      <w:t>https://camarasempapel.cmv.es.gov.br/Arquivo/Documents/legislacao/html/L88592015.html?identificador=38003800360038003A004C00&amp;utm_so…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5</w:t>
    </w:r>
    <w:r>
      <w:rPr>
        <w:rFonts w:ascii="Arial" w:eastAsia="Arial" w:hAnsi="Arial"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997C05">
      <w:pPr>
        <w:spacing w:after="0" w:line="240" w:lineRule="auto"/>
      </w:pPr>
      <w:r>
        <w:separator/>
      </w:r>
    </w:p>
  </w:footnote>
  <w:footnote w:type="continuationSeparator" w:id="0">
    <w:p w:rsidR="00000000" w:rsidRDefault="00997C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4FBC" w:rsidRDefault="00997C05">
    <w:pPr>
      <w:tabs>
        <w:tab w:val="right" w:pos="9531"/>
      </w:tabs>
      <w:spacing w:after="0" w:line="259" w:lineRule="auto"/>
      <w:ind w:left="-1335" w:right="-1266" w:firstLine="0"/>
      <w:jc w:val="left"/>
    </w:pPr>
    <w:r>
      <w:rPr>
        <w:rFonts w:ascii="Arial" w:eastAsia="Arial" w:hAnsi="Arial" w:cs="Arial"/>
        <w:sz w:val="16"/>
      </w:rPr>
      <w:t>05/08/2026, 14:41</w:t>
    </w:r>
    <w:r>
      <w:rPr>
        <w:rFonts w:ascii="Arial" w:eastAsia="Arial" w:hAnsi="Arial" w:cs="Arial"/>
        <w:sz w:val="16"/>
      </w:rPr>
      <w:tab/>
    </w:r>
    <w:r>
      <w:rPr>
        <w:rFonts w:ascii="Arial" w:eastAsia="Arial" w:hAnsi="Arial" w:cs="Arial"/>
        <w:sz w:val="16"/>
      </w:rPr>
      <w:t>camarasempapel.cmv.es.gov.br/Arquivo/Documents/legislacao/html/L88592015.html?identificador=38003800360038003A00…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4FBC" w:rsidRDefault="00997C05">
    <w:pPr>
      <w:tabs>
        <w:tab w:val="right" w:pos="9531"/>
      </w:tabs>
      <w:spacing w:after="0" w:line="259" w:lineRule="auto"/>
      <w:ind w:left="-1335" w:right="-1266" w:firstLine="0"/>
      <w:jc w:val="left"/>
    </w:pPr>
    <w:r>
      <w:rPr>
        <w:rFonts w:ascii="Arial" w:eastAsia="Arial" w:hAnsi="Arial" w:cs="Arial"/>
        <w:sz w:val="16"/>
      </w:rPr>
      <w:t>05/08/2026, 14:41</w:t>
    </w:r>
    <w:r>
      <w:rPr>
        <w:rFonts w:ascii="Arial" w:eastAsia="Arial" w:hAnsi="Arial" w:cs="Arial"/>
        <w:sz w:val="16"/>
      </w:rPr>
      <w:tab/>
      <w:t>camarasempapel.cmv.es.gov.br/Arquivo/Documents/legislacao/html/L88592015.html?identificador=38003800360038003A00…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4FBC" w:rsidRDefault="00997C05">
    <w:pPr>
      <w:tabs>
        <w:tab w:val="right" w:pos="9531"/>
      </w:tabs>
      <w:spacing w:after="0" w:line="259" w:lineRule="auto"/>
      <w:ind w:left="-1335" w:right="-1266" w:firstLine="0"/>
      <w:jc w:val="left"/>
    </w:pPr>
    <w:r>
      <w:rPr>
        <w:rFonts w:ascii="Arial" w:eastAsia="Arial" w:hAnsi="Arial" w:cs="Arial"/>
        <w:sz w:val="16"/>
      </w:rPr>
      <w:t>05/08/20</w:t>
    </w:r>
    <w:r>
      <w:rPr>
        <w:rFonts w:ascii="Arial" w:eastAsia="Arial" w:hAnsi="Arial" w:cs="Arial"/>
        <w:sz w:val="16"/>
      </w:rPr>
      <w:t>26, 14:41</w:t>
    </w:r>
    <w:r>
      <w:rPr>
        <w:rFonts w:ascii="Arial" w:eastAsia="Arial" w:hAnsi="Arial" w:cs="Arial"/>
        <w:sz w:val="16"/>
      </w:rPr>
      <w:tab/>
      <w:t>camarasempapel.cmv.es.gov.br/Arquivo/Documents/legislacao/html/L88592015.html?identificador=38003800360038003A00…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E25E8"/>
    <w:multiLevelType w:val="hybridMultilevel"/>
    <w:tmpl w:val="FBFA546A"/>
    <w:lvl w:ilvl="0" w:tplc="E6F257D4">
      <w:start w:val="1"/>
      <w:numFmt w:val="upperRoman"/>
      <w:lvlText w:val="%1"/>
      <w:lvlJc w:val="left"/>
      <w:pPr>
        <w:ind w:left="70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ACE622">
      <w:start w:val="1"/>
      <w:numFmt w:val="lowerLetter"/>
      <w:lvlText w:val="%2"/>
      <w:lvlJc w:val="left"/>
      <w:pPr>
        <w:ind w:left="249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0485BE">
      <w:start w:val="1"/>
      <w:numFmt w:val="lowerRoman"/>
      <w:lvlText w:val="%3"/>
      <w:lvlJc w:val="left"/>
      <w:pPr>
        <w:ind w:left="32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D42A00">
      <w:start w:val="1"/>
      <w:numFmt w:val="decimal"/>
      <w:lvlText w:val="%4"/>
      <w:lvlJc w:val="left"/>
      <w:pPr>
        <w:ind w:left="393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70099E">
      <w:start w:val="1"/>
      <w:numFmt w:val="lowerLetter"/>
      <w:lvlText w:val="%5"/>
      <w:lvlJc w:val="left"/>
      <w:pPr>
        <w:ind w:left="465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EE2E10">
      <w:start w:val="1"/>
      <w:numFmt w:val="lowerRoman"/>
      <w:lvlText w:val="%6"/>
      <w:lvlJc w:val="left"/>
      <w:pPr>
        <w:ind w:left="537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FC306A">
      <w:start w:val="1"/>
      <w:numFmt w:val="decimal"/>
      <w:lvlText w:val="%7"/>
      <w:lvlJc w:val="left"/>
      <w:pPr>
        <w:ind w:left="609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C6A7BA">
      <w:start w:val="1"/>
      <w:numFmt w:val="lowerLetter"/>
      <w:lvlText w:val="%8"/>
      <w:lvlJc w:val="left"/>
      <w:pPr>
        <w:ind w:left="68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981662">
      <w:start w:val="1"/>
      <w:numFmt w:val="lowerRoman"/>
      <w:lvlText w:val="%9"/>
      <w:lvlJc w:val="left"/>
      <w:pPr>
        <w:ind w:left="753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084EEE"/>
    <w:multiLevelType w:val="hybridMultilevel"/>
    <w:tmpl w:val="8A76397E"/>
    <w:lvl w:ilvl="0" w:tplc="F1061F44">
      <w:start w:val="1"/>
      <w:numFmt w:val="upperRoman"/>
      <w:lvlText w:val="%1"/>
      <w:lvlJc w:val="left"/>
      <w:pPr>
        <w:ind w:left="1909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921AAA">
      <w:start w:val="1"/>
      <w:numFmt w:val="lowerLetter"/>
      <w:lvlText w:val="%2"/>
      <w:lvlJc w:val="left"/>
      <w:pPr>
        <w:ind w:left="249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BAD340">
      <w:start w:val="1"/>
      <w:numFmt w:val="lowerRoman"/>
      <w:lvlText w:val="%3"/>
      <w:lvlJc w:val="left"/>
      <w:pPr>
        <w:ind w:left="32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CC3CD2">
      <w:start w:val="1"/>
      <w:numFmt w:val="decimal"/>
      <w:lvlText w:val="%4"/>
      <w:lvlJc w:val="left"/>
      <w:pPr>
        <w:ind w:left="393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CE1C3A">
      <w:start w:val="1"/>
      <w:numFmt w:val="lowerLetter"/>
      <w:lvlText w:val="%5"/>
      <w:lvlJc w:val="left"/>
      <w:pPr>
        <w:ind w:left="465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AE88F8">
      <w:start w:val="1"/>
      <w:numFmt w:val="lowerRoman"/>
      <w:lvlText w:val="%6"/>
      <w:lvlJc w:val="left"/>
      <w:pPr>
        <w:ind w:left="537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D220F4">
      <w:start w:val="1"/>
      <w:numFmt w:val="decimal"/>
      <w:lvlText w:val="%7"/>
      <w:lvlJc w:val="left"/>
      <w:pPr>
        <w:ind w:left="609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B625B6">
      <w:start w:val="1"/>
      <w:numFmt w:val="lowerLetter"/>
      <w:lvlText w:val="%8"/>
      <w:lvlJc w:val="left"/>
      <w:pPr>
        <w:ind w:left="68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A039EC">
      <w:start w:val="1"/>
      <w:numFmt w:val="lowerRoman"/>
      <w:lvlText w:val="%9"/>
      <w:lvlJc w:val="left"/>
      <w:pPr>
        <w:ind w:left="753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CE2E0C"/>
    <w:multiLevelType w:val="hybridMultilevel"/>
    <w:tmpl w:val="9B709A58"/>
    <w:lvl w:ilvl="0" w:tplc="8886EBE8">
      <w:start w:val="1"/>
      <w:numFmt w:val="upperRoman"/>
      <w:lvlText w:val="%1"/>
      <w:lvlJc w:val="left"/>
      <w:pPr>
        <w:ind w:left="14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92CD38">
      <w:start w:val="1"/>
      <w:numFmt w:val="lowerLetter"/>
      <w:lvlText w:val="%2"/>
      <w:lvlJc w:val="left"/>
      <w:pPr>
        <w:ind w:left="249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08360C">
      <w:start w:val="1"/>
      <w:numFmt w:val="lowerRoman"/>
      <w:lvlText w:val="%3"/>
      <w:lvlJc w:val="left"/>
      <w:pPr>
        <w:ind w:left="32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DEE428">
      <w:start w:val="1"/>
      <w:numFmt w:val="decimal"/>
      <w:lvlText w:val="%4"/>
      <w:lvlJc w:val="left"/>
      <w:pPr>
        <w:ind w:left="393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DC43A2">
      <w:start w:val="1"/>
      <w:numFmt w:val="lowerLetter"/>
      <w:lvlText w:val="%5"/>
      <w:lvlJc w:val="left"/>
      <w:pPr>
        <w:ind w:left="465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8859DA">
      <w:start w:val="1"/>
      <w:numFmt w:val="lowerRoman"/>
      <w:lvlText w:val="%6"/>
      <w:lvlJc w:val="left"/>
      <w:pPr>
        <w:ind w:left="537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ACFD0C">
      <w:start w:val="1"/>
      <w:numFmt w:val="decimal"/>
      <w:lvlText w:val="%7"/>
      <w:lvlJc w:val="left"/>
      <w:pPr>
        <w:ind w:left="609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B437E2">
      <w:start w:val="1"/>
      <w:numFmt w:val="lowerLetter"/>
      <w:lvlText w:val="%8"/>
      <w:lvlJc w:val="left"/>
      <w:pPr>
        <w:ind w:left="68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483A3A">
      <w:start w:val="1"/>
      <w:numFmt w:val="lowerRoman"/>
      <w:lvlText w:val="%9"/>
      <w:lvlJc w:val="left"/>
      <w:pPr>
        <w:ind w:left="753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90C57A0"/>
    <w:multiLevelType w:val="hybridMultilevel"/>
    <w:tmpl w:val="DCEE56BA"/>
    <w:lvl w:ilvl="0" w:tplc="73006AE4">
      <w:start w:val="1"/>
      <w:numFmt w:val="upperRoman"/>
      <w:lvlText w:val="%1"/>
      <w:lvlJc w:val="left"/>
      <w:pPr>
        <w:ind w:left="14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4A0F72">
      <w:start w:val="1"/>
      <w:numFmt w:val="lowerLetter"/>
      <w:lvlText w:val="%2"/>
      <w:lvlJc w:val="left"/>
      <w:pPr>
        <w:ind w:left="2509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629DB2">
      <w:start w:val="1"/>
      <w:numFmt w:val="lowerRoman"/>
      <w:lvlText w:val="%3"/>
      <w:lvlJc w:val="left"/>
      <w:pPr>
        <w:ind w:left="3229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FC5756">
      <w:start w:val="1"/>
      <w:numFmt w:val="decimal"/>
      <w:lvlText w:val="%4"/>
      <w:lvlJc w:val="left"/>
      <w:pPr>
        <w:ind w:left="3949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6C5074">
      <w:start w:val="1"/>
      <w:numFmt w:val="lowerLetter"/>
      <w:lvlText w:val="%5"/>
      <w:lvlJc w:val="left"/>
      <w:pPr>
        <w:ind w:left="4669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3E2A0E">
      <w:start w:val="1"/>
      <w:numFmt w:val="lowerRoman"/>
      <w:lvlText w:val="%6"/>
      <w:lvlJc w:val="left"/>
      <w:pPr>
        <w:ind w:left="5389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E6E4E4">
      <w:start w:val="1"/>
      <w:numFmt w:val="decimal"/>
      <w:lvlText w:val="%7"/>
      <w:lvlJc w:val="left"/>
      <w:pPr>
        <w:ind w:left="6109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76A736">
      <w:start w:val="1"/>
      <w:numFmt w:val="lowerLetter"/>
      <w:lvlText w:val="%8"/>
      <w:lvlJc w:val="left"/>
      <w:pPr>
        <w:ind w:left="6829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A8D1B4">
      <w:start w:val="1"/>
      <w:numFmt w:val="lowerRoman"/>
      <w:lvlText w:val="%9"/>
      <w:lvlJc w:val="left"/>
      <w:pPr>
        <w:ind w:left="7549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84A0617"/>
    <w:multiLevelType w:val="hybridMultilevel"/>
    <w:tmpl w:val="A1025324"/>
    <w:lvl w:ilvl="0" w:tplc="064C0FEE">
      <w:start w:val="1"/>
      <w:numFmt w:val="upperRoman"/>
      <w:lvlText w:val="%1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F6551C">
      <w:start w:val="1"/>
      <w:numFmt w:val="lowerLetter"/>
      <w:lvlText w:val="%2"/>
      <w:lvlJc w:val="left"/>
      <w:pPr>
        <w:ind w:left="249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028292">
      <w:start w:val="1"/>
      <w:numFmt w:val="lowerRoman"/>
      <w:lvlText w:val="%3"/>
      <w:lvlJc w:val="left"/>
      <w:pPr>
        <w:ind w:left="32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6A792E">
      <w:start w:val="1"/>
      <w:numFmt w:val="decimal"/>
      <w:lvlText w:val="%4"/>
      <w:lvlJc w:val="left"/>
      <w:pPr>
        <w:ind w:left="393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D8C4DE">
      <w:start w:val="1"/>
      <w:numFmt w:val="lowerLetter"/>
      <w:lvlText w:val="%5"/>
      <w:lvlJc w:val="left"/>
      <w:pPr>
        <w:ind w:left="465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CEEB5C">
      <w:start w:val="1"/>
      <w:numFmt w:val="lowerRoman"/>
      <w:lvlText w:val="%6"/>
      <w:lvlJc w:val="left"/>
      <w:pPr>
        <w:ind w:left="537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2647F8">
      <w:start w:val="1"/>
      <w:numFmt w:val="decimal"/>
      <w:lvlText w:val="%7"/>
      <w:lvlJc w:val="left"/>
      <w:pPr>
        <w:ind w:left="609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DE1B04">
      <w:start w:val="1"/>
      <w:numFmt w:val="lowerLetter"/>
      <w:lvlText w:val="%8"/>
      <w:lvlJc w:val="left"/>
      <w:pPr>
        <w:ind w:left="68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1CEAA2">
      <w:start w:val="1"/>
      <w:numFmt w:val="lowerRoman"/>
      <w:lvlText w:val="%9"/>
      <w:lvlJc w:val="left"/>
      <w:pPr>
        <w:ind w:left="753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2398826">
    <w:abstractNumId w:val="3"/>
  </w:num>
  <w:num w:numId="2" w16cid:durableId="1536310746">
    <w:abstractNumId w:val="1"/>
  </w:num>
  <w:num w:numId="3" w16cid:durableId="1393580626">
    <w:abstractNumId w:val="0"/>
  </w:num>
  <w:num w:numId="4" w16cid:durableId="132606777">
    <w:abstractNumId w:val="2"/>
  </w:num>
  <w:num w:numId="5" w16cid:durableId="8083273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FBC"/>
    <w:rsid w:val="00604FBC"/>
    <w:rsid w:val="0099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10" w:hanging="10"/>
      <w:jc w:val="both"/>
    </w:pPr>
    <w:rPr>
      <w:rFonts w:ascii="Verdana" w:eastAsia="Verdana" w:hAnsi="Verdana" w:cs="Verdana"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amarasempapel.cmv.es.gov.br/Arquivo/Documents/legislacao/html/O11990.html" TargetMode="External"/><Relationship Id="rId18" Type="http://schemas.openxmlformats.org/officeDocument/2006/relationships/hyperlink" Target="https://camarasempapel.cmv.es.gov.br/Arquivo/Documents/legislacao/html/L48211998.html" TargetMode="External"/><Relationship Id="rId26" Type="http://schemas.openxmlformats.org/officeDocument/2006/relationships/hyperlink" Target="https://camarasempapel.cmv.es.gov.br/Arquivo/Documents/legislacao/html/L82202012.html" TargetMode="External"/><Relationship Id="rId39" Type="http://schemas.openxmlformats.org/officeDocument/2006/relationships/hyperlink" Target="https://camarasempapel.cmv.es.gov.br/Arquivo/Documents/legislacao/html/L88022015.html" TargetMode="External"/><Relationship Id="rId21" Type="http://schemas.openxmlformats.org/officeDocument/2006/relationships/hyperlink" Target="https://camarasempapel.cmv.es.gov.br/Arquivo/Documents/legislacao/html/L67052006.html" TargetMode="External"/><Relationship Id="rId34" Type="http://schemas.openxmlformats.org/officeDocument/2006/relationships/hyperlink" Target="https://camarasempapel.cmv.es.gov.br/Arquivo/Documents/legislacao/html/L84162013.html" TargetMode="External"/><Relationship Id="rId42" Type="http://schemas.openxmlformats.org/officeDocument/2006/relationships/header" Target="header2.xml"/><Relationship Id="rId47" Type="http://schemas.openxmlformats.org/officeDocument/2006/relationships/fontTable" Target="fontTable.xml"/><Relationship Id="rId7" Type="http://schemas.openxmlformats.org/officeDocument/2006/relationships/hyperlink" Target="https://camarasempapel.cmv.es.gov.br/Arquivo/Documents/legislacao/html/O11990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camarasempapel.cmv.es.gov.br/Arquivo/Documents/legislacao/html/O11990.html" TargetMode="External"/><Relationship Id="rId29" Type="http://schemas.openxmlformats.org/officeDocument/2006/relationships/hyperlink" Target="https://camarasempapel.cmv.es.gov.br/Arquivo/Documents/legislacao/html/L84162013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amarasempapel.cmv.es.gov.br/Arquivo/Documents/legislacao/html/O11990.html" TargetMode="External"/><Relationship Id="rId24" Type="http://schemas.openxmlformats.org/officeDocument/2006/relationships/hyperlink" Target="https://camarasempapel.cmv.es.gov.br/Arquivo/Documents/legislacao/html/L82202012.html" TargetMode="External"/><Relationship Id="rId32" Type="http://schemas.openxmlformats.org/officeDocument/2006/relationships/hyperlink" Target="https://camarasempapel.cmv.es.gov.br/Arquivo/Documents/legislacao/html/L84162013.html" TargetMode="External"/><Relationship Id="rId37" Type="http://schemas.openxmlformats.org/officeDocument/2006/relationships/hyperlink" Target="https://camarasempapel.cmv.es.gov.br/Arquivo/Documents/legislacao/html/L88022015.html" TargetMode="External"/><Relationship Id="rId40" Type="http://schemas.openxmlformats.org/officeDocument/2006/relationships/hyperlink" Target="https://camarasempapel.cmv.es.gov.br/Arquivo/Documents/legislacao/html/L88022015.html" TargetMode="External"/><Relationship Id="rId45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camarasempapel.cmv.es.gov.br/Arquivo/Documents/legislacao/html/O11990.html" TargetMode="External"/><Relationship Id="rId23" Type="http://schemas.openxmlformats.org/officeDocument/2006/relationships/hyperlink" Target="https://camarasempapel.cmv.es.gov.br/Arquivo/Documents/legislacao/html/L67052006.html" TargetMode="External"/><Relationship Id="rId28" Type="http://schemas.openxmlformats.org/officeDocument/2006/relationships/hyperlink" Target="https://camarasempapel.cmv.es.gov.br/Arquivo/Documents/legislacao/html/L82202012.html" TargetMode="External"/><Relationship Id="rId36" Type="http://schemas.openxmlformats.org/officeDocument/2006/relationships/hyperlink" Target="https://camarasempapel.cmv.es.gov.br/Arquivo/Documents/legislacao/html/L88022015.html" TargetMode="External"/><Relationship Id="rId10" Type="http://schemas.openxmlformats.org/officeDocument/2006/relationships/hyperlink" Target="https://camarasempapel.cmv.es.gov.br/Arquivo/Documents/legislacao/html/O11990.html" TargetMode="External"/><Relationship Id="rId19" Type="http://schemas.openxmlformats.org/officeDocument/2006/relationships/hyperlink" Target="https://camarasempapel.cmv.es.gov.br/Arquivo/Documents/legislacao/html/L48211998.html" TargetMode="External"/><Relationship Id="rId31" Type="http://schemas.openxmlformats.org/officeDocument/2006/relationships/hyperlink" Target="https://camarasempapel.cmv.es.gov.br/Arquivo/Documents/legislacao/html/L84162013.html" TargetMode="External"/><Relationship Id="rId44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camarasempapel.cmv.es.gov.br/Arquivo/Documents/legislacao/html/O11990.html" TargetMode="External"/><Relationship Id="rId14" Type="http://schemas.openxmlformats.org/officeDocument/2006/relationships/hyperlink" Target="https://camarasempapel.cmv.es.gov.br/Arquivo/Documents/legislacao/html/O11990.html" TargetMode="External"/><Relationship Id="rId22" Type="http://schemas.openxmlformats.org/officeDocument/2006/relationships/hyperlink" Target="https://camarasempapel.cmv.es.gov.br/Arquivo/Documents/legislacao/html/L67052006.html" TargetMode="External"/><Relationship Id="rId27" Type="http://schemas.openxmlformats.org/officeDocument/2006/relationships/hyperlink" Target="https://camarasempapel.cmv.es.gov.br/Arquivo/Documents/legislacao/html/L82202012.html" TargetMode="External"/><Relationship Id="rId30" Type="http://schemas.openxmlformats.org/officeDocument/2006/relationships/hyperlink" Target="https://camarasempapel.cmv.es.gov.br/Arquivo/Documents/legislacao/html/L84162013.html" TargetMode="External"/><Relationship Id="rId35" Type="http://schemas.openxmlformats.org/officeDocument/2006/relationships/hyperlink" Target="https://camarasempapel.cmv.es.gov.br/Arquivo/Documents/legislacao/html/L88022015.html" TargetMode="External"/><Relationship Id="rId43" Type="http://schemas.openxmlformats.org/officeDocument/2006/relationships/footer" Target="footer1.xml"/><Relationship Id="rId48" Type="http://schemas.openxmlformats.org/officeDocument/2006/relationships/theme" Target="theme/theme1.xml"/><Relationship Id="rId8" Type="http://schemas.openxmlformats.org/officeDocument/2006/relationships/hyperlink" Target="https://camarasempapel.cmv.es.gov.br/Arquivo/Documents/legislacao/html/O11990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camarasempapel.cmv.es.gov.br/Arquivo/Documents/legislacao/html/O11990.html" TargetMode="External"/><Relationship Id="rId17" Type="http://schemas.openxmlformats.org/officeDocument/2006/relationships/hyperlink" Target="https://camarasempapel.cmv.es.gov.br/Arquivo/Documents/legislacao/html/L48211998.html" TargetMode="External"/><Relationship Id="rId25" Type="http://schemas.openxmlformats.org/officeDocument/2006/relationships/hyperlink" Target="https://camarasempapel.cmv.es.gov.br/Arquivo/Documents/legislacao/html/L82202012.html" TargetMode="External"/><Relationship Id="rId33" Type="http://schemas.openxmlformats.org/officeDocument/2006/relationships/hyperlink" Target="https://camarasempapel.cmv.es.gov.br/Arquivo/Documents/legislacao/html/L84162013.html" TargetMode="External"/><Relationship Id="rId38" Type="http://schemas.openxmlformats.org/officeDocument/2006/relationships/hyperlink" Target="https://camarasempapel.cmv.es.gov.br/Arquivo/Documents/legislacao/html/L88022015.html" TargetMode="External"/><Relationship Id="rId46" Type="http://schemas.openxmlformats.org/officeDocument/2006/relationships/footer" Target="footer3.xml"/><Relationship Id="rId20" Type="http://schemas.openxmlformats.org/officeDocument/2006/relationships/hyperlink" Target="https://camarasempapel.cmv.es.gov.br/Arquivo/Documents/legislacao/html/L48211998.html" TargetMode="External"/><Relationship Id="rId4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2494</Words>
  <Characters>13472</Characters>
  <Application>Microsoft Office Word</Application>
  <DocSecurity>4</DocSecurity>
  <Lines>112</Lines>
  <Paragraphs>31</Paragraphs>
  <ScaleCrop>false</ScaleCrop>
  <Company/>
  <LinksUpToDate>false</LinksUpToDate>
  <CharactersWithSpaces>15935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camarasempapel.cmv.es.gov.br/Arquivo/Documents/legislacao/html/L88592015.html?identificador=38003800360038003A004C00&amp;utm_source=chatgpt.com</dc:title>
  <dc:subject/>
  <dc:creator>FAST PREV</dc:creator>
  <cp:keywords/>
  <cp:lastModifiedBy>FAST PREV</cp:lastModifiedBy>
  <cp:revision>2</cp:revision>
  <dcterms:created xsi:type="dcterms:W3CDTF">2026-08-19T17:33:00Z</dcterms:created>
  <dcterms:modified xsi:type="dcterms:W3CDTF">2026-08-19T17:33:00Z</dcterms:modified>
</cp:coreProperties>
</file>