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65E7" w:rsidRDefault="00BF59AC">
      <w:pPr>
        <w:spacing w:after="0"/>
        <w:ind w:left="0" w:right="5" w:firstLine="0"/>
        <w:jc w:val="center"/>
      </w:pPr>
      <w:r>
        <w:rPr>
          <w:b/>
          <w:sz w:val="24"/>
          <w:u w:val="double" w:color="000000"/>
        </w:rPr>
        <w:t>LEI COMPLEMENTAR Nº 540, DE 26 DE DEZEMBRO DE 2023.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365E7" w:rsidRDefault="00BF59AC">
      <w:pPr>
        <w:spacing w:after="300"/>
        <w:ind w:left="3545" w:right="0" w:firstLine="0"/>
        <w:jc w:val="left"/>
      </w:pPr>
      <w:r>
        <w:rPr>
          <w:i/>
          <w:sz w:val="2"/>
        </w:rPr>
        <w:t xml:space="preserve"> </w:t>
      </w:r>
    </w:p>
    <w:p w:rsidR="00E365E7" w:rsidRDefault="00BF59AC">
      <w:pPr>
        <w:spacing w:after="0" w:line="245" w:lineRule="auto"/>
        <w:ind w:left="3545" w:right="1" w:firstLine="0"/>
      </w:pPr>
      <w:r>
        <w:rPr>
          <w:i/>
        </w:rPr>
        <w:t xml:space="preserve">DISPÕE SOBRE A REGULARIZAÇÃO DAS EDIFICAÇÕES URBANAS NO MUNICÍPIO DE ANÁPOLIS, REVOGA A LEI COMPLEMENTAR Nº 411, DE 25 DE ABRIL DE 2019; A LEI COMPLEMENTAR Nº 433, DE 26 DE DEZEMBRO DE 2019 E LEI COMPLEMENTAR Nº 458, DE 29 DE DEZEMBRO DE 2020, E DÁ OUTRAS </w:t>
      </w:r>
      <w:r>
        <w:rPr>
          <w:i/>
        </w:rPr>
        <w:t>PROVIDÊNCIAS.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spacing w:after="314"/>
        <w:ind w:left="850" w:right="0" w:firstLine="0"/>
        <w:jc w:val="left"/>
      </w:pPr>
      <w:r>
        <w:rPr>
          <w:sz w:val="2"/>
        </w:rPr>
        <w:t xml:space="preserve"> </w:t>
      </w:r>
    </w:p>
    <w:p w:rsidR="00E365E7" w:rsidRDefault="00BF59AC">
      <w:pPr>
        <w:spacing w:after="75" w:line="273" w:lineRule="auto"/>
        <w:ind w:left="0" w:right="0" w:firstLine="0"/>
        <w:jc w:val="left"/>
      </w:pPr>
      <w:r>
        <w:rPr>
          <w:b/>
          <w:sz w:val="24"/>
        </w:rPr>
        <w:t xml:space="preserve">  </w:t>
      </w:r>
      <w:r>
        <w:t>A</w:t>
      </w:r>
      <w:r>
        <w:rPr>
          <w:b/>
        </w:rPr>
        <w:t xml:space="preserve"> CÂMARA MUNICIPAL DE ANÁPOLIS </w:t>
      </w:r>
      <w:r>
        <w:t>aprovou e eu</w:t>
      </w:r>
      <w:r>
        <w:rPr>
          <w:b/>
        </w:rPr>
        <w:t xml:space="preserve">, PREFEITO DE ANÁPOLIS, </w:t>
      </w:r>
      <w:r>
        <w:t>sanciono a seguinte Lei Complementar: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Art. 1º</w:t>
      </w:r>
      <w:r>
        <w:t>. Fica o Chefe do Executivo autorizado, por meio do órgão responsável pela emissão dos Alvarás de Construção e Carta de Hab</w:t>
      </w:r>
      <w:r>
        <w:t>ite-se e/ou Ocupação, a promover a regularização das obras em construção, inacabadas e/ou concluídas sem o prévio alvará de construção, ou que não tiveram prévia aprovação dos respectivos projetos e/ou o alvará inicial de construção emitido.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Parágrafo ún</w:t>
      </w:r>
      <w:r>
        <w:rPr>
          <w:b/>
        </w:rPr>
        <w:t>ico</w:t>
      </w:r>
      <w:r>
        <w:t xml:space="preserve">. Também serão passíveis de regularização as infraestruturas de telecomunicações (ERB </w:t>
      </w:r>
      <w:r>
        <w:t>–</w:t>
      </w:r>
      <w:r>
        <w:t xml:space="preserve"> Estação Rádio-Base), desde que estejam atendidas as normas federais em vigor, bem como, no caso de uso de áreas públicas, atendida a devida normatização municipal.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Art. 2º.</w:t>
      </w:r>
      <w:r>
        <w:t xml:space="preserve"> Os processos administrativos referentes à regularização de obras, reger-se-ão pela presente Lei Complementar, e somente abrangerá as construções que comprovarem a existência através da Foto do Google Earth, datada, no máximo, até o findar do ano </w:t>
      </w:r>
      <w:r>
        <w:t>de 2023.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Art. 3º.</w:t>
      </w:r>
      <w:r>
        <w:t xml:space="preserve"> A regularização de obras far-se-á através da emissão de Termo de Regularização de Obras, mediante o pagamento das taxas atuais referentes ao Alvará de Licença convencional acrescidas das multas aplicáveis, se for o caso.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§ 1º.</w:t>
      </w:r>
      <w:r>
        <w:t xml:space="preserve"> As mult</w:t>
      </w:r>
      <w:r>
        <w:t xml:space="preserve">as mencionadas no </w:t>
      </w:r>
      <w:r>
        <w:rPr>
          <w:i/>
        </w:rPr>
        <w:t>caput</w:t>
      </w:r>
      <w:r>
        <w:t xml:space="preserve"> deste artigo, por sua natureza, não estarão sujeitas aos programas municipais do REFIS. 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§ 2º</w:t>
      </w:r>
      <w:r>
        <w:t>. Os processos administrativos objetos dessa lei deverão ter recolhidos os valores das multas relativas ao Anexo I desta Lei, bem como, a</w:t>
      </w:r>
      <w:r>
        <w:t>s multas e taxas estabelecidas no Código Municipal de Edificações e na Lei do Plano Diretor.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§ 3º.</w:t>
      </w:r>
      <w:r>
        <w:t xml:space="preserve"> As edificações regularizadas por meio desta lei estarão plenamente aptas ao desdobro, desde que atendidas as exigências das dimensões e áreas mínimas defin</w:t>
      </w:r>
      <w:r>
        <w:t>idas na Lei de Parcelamento do Solo.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§ 4º.</w:t>
      </w:r>
      <w:r>
        <w:t xml:space="preserve"> As edificações regularizadas por meio desta lei, quando em lotes de esquina, inclusive nos casos que necessite de desdobro, estarão plenamente aptas a regularização, desde de que atendidas as exigências da utili</w:t>
      </w:r>
      <w:r>
        <w:t>zação do chanfro através da outorga onerosa.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§ 5º.</w:t>
      </w:r>
      <w:r>
        <w:t xml:space="preserve"> A base de cálculo da outorga onerosa prevista no §3º do presente artigo, será em conformidade com o valor venal do imóvel estabelecido na planta de valores prevista no Código Tributário e de Rendas do mu</w:t>
      </w:r>
      <w:r>
        <w:t>nicípio de Anápolis (CTRMA), não constituindo em propriedade do imóvel.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lastRenderedPageBreak/>
        <w:t xml:space="preserve"> Art. 4º.</w:t>
      </w:r>
      <w:r>
        <w:t xml:space="preserve"> Os processos administrativos de regularização de obras serão instruídos com a seguinte documentação: 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1"/>
        </w:numPr>
        <w:ind w:right="0" w:hanging="202"/>
      </w:pPr>
      <w:r>
        <w:rPr>
          <w:b/>
        </w:rPr>
        <w:t>-</w:t>
      </w:r>
      <w:r>
        <w:t xml:space="preserve"> </w:t>
      </w:r>
      <w:r>
        <w:t>Fotocópia da cédula de identidade e da inscrição junto ao Cadastro de Pessoa Física ou Jurídica - CPF ou CNPJ, do responsável pelo imóvel;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1"/>
        </w:numPr>
        <w:spacing w:after="123"/>
        <w:ind w:right="0" w:hanging="202"/>
      </w:pPr>
      <w:r>
        <w:rPr>
          <w:b/>
        </w:rPr>
        <w:t>-</w:t>
      </w:r>
      <w:r>
        <w:t xml:space="preserve"> Certidão atualizada de propriedade do imóvel devidamente registrada no Cartório de Registro de Imóveis;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1"/>
        </w:numPr>
        <w:ind w:right="0" w:hanging="202"/>
      </w:pPr>
      <w:r>
        <w:rPr>
          <w:b/>
        </w:rPr>
        <w:t>-</w:t>
      </w:r>
      <w:r>
        <w:t xml:space="preserve"> Informa</w:t>
      </w:r>
      <w:r>
        <w:t>r o número da Inscrição Municipal Imobiliária;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IV-</w:t>
      </w:r>
      <w:r>
        <w:t xml:space="preserve"> Levantamento arquitetônico completo com Registro de Responsabilidade Técnica - RRT ou Anotação de Responsabilidade Técnica - ART;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spacing w:after="127"/>
        <w:ind w:left="-5" w:right="0"/>
      </w:pPr>
      <w:r>
        <w:rPr>
          <w:b/>
        </w:rPr>
        <w:t xml:space="preserve"> V -</w:t>
      </w:r>
      <w:r>
        <w:t xml:space="preserve"> Projeto aprovado e certificado de conformidade - CERCON - do Corpo </w:t>
      </w:r>
      <w:r>
        <w:t>de Bombeiros do ano corrente, para construções destinadas a habitação coletiva, atividades comerciais, industriais, de prestação de serviço, cuja área seja superior a 750,00 m2 (setecentos e cinquenta metros quadrados) e construções com 3 (três) ou mais pa</w:t>
      </w:r>
      <w:r>
        <w:t>vimentos;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tabs>
          <w:tab w:val="center" w:pos="2803"/>
        </w:tabs>
        <w:spacing w:after="131"/>
        <w:ind w:left="-15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>Art. 5º</w:t>
      </w:r>
      <w:r>
        <w:t>. Não serão regularizadas as edificações que: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2"/>
        </w:numPr>
        <w:spacing w:after="134"/>
        <w:ind w:right="0" w:hanging="221"/>
      </w:pPr>
      <w:r>
        <w:rPr>
          <w:b/>
        </w:rPr>
        <w:t>-</w:t>
      </w:r>
      <w:r>
        <w:t xml:space="preserve"> invadirem áreas públicas;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2"/>
        </w:numPr>
        <w:ind w:right="0" w:hanging="221"/>
      </w:pPr>
      <w:r>
        <w:t>- invadirem áreas particulares;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2"/>
        </w:numPr>
        <w:spacing w:after="130"/>
        <w:ind w:right="0" w:hanging="221"/>
      </w:pPr>
      <w:r>
        <w:t>- invadirem ou ocuparem áreas de preservação e proteção ambiental, excetuando-se as edificações já existentes em áreas consolid</w:t>
      </w:r>
      <w:r>
        <w:t>adas e anteriores às normativas legais pertinentes, e somente abrangerá as construções que comprovarem a existência através da Foto do Google Earth, datada, no máximo, até o findar do 2023;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2"/>
        </w:numPr>
        <w:spacing w:after="131"/>
        <w:ind w:right="0" w:hanging="221"/>
      </w:pPr>
      <w:r>
        <w:rPr>
          <w:b/>
        </w:rPr>
        <w:t>-</w:t>
      </w:r>
      <w:r>
        <w:t xml:space="preserve"> utilizarem marquises construídas fora do limite do terreno como</w:t>
      </w:r>
      <w:r>
        <w:t xml:space="preserve"> área útil;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2"/>
        </w:numPr>
        <w:spacing w:after="132"/>
        <w:ind w:right="0" w:hanging="221"/>
      </w:pPr>
      <w:r>
        <w:rPr>
          <w:b/>
        </w:rPr>
        <w:t>-</w:t>
      </w:r>
      <w:r>
        <w:t xml:space="preserve"> invadirem passeio público;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numPr>
          <w:ilvl w:val="0"/>
          <w:numId w:val="2"/>
        </w:numPr>
        <w:ind w:right="0" w:hanging="221"/>
      </w:pPr>
      <w:r>
        <w:rPr>
          <w:b/>
        </w:rPr>
        <w:t>-</w:t>
      </w:r>
      <w:r>
        <w:t xml:space="preserve"> estiverem sobre as faixas de domínio público estabelecidas pela Lei Complementar 131/2006;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 Art. 6º.</w:t>
      </w:r>
      <w:r>
        <w:t xml:space="preserve"> </w:t>
      </w:r>
      <w:r>
        <w:t>Quaisquer construções que possuam janela ou abertura na divisa somente serão regularizadas mediante a apresentação da Declaração de Anuência dos proprietários dos imóveis confrontantes, mediante documento hábil e autêntico.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t xml:space="preserve">  </w:t>
      </w:r>
      <w:r>
        <w:rPr>
          <w:b/>
        </w:rPr>
        <w:t>Art 7º.</w:t>
      </w:r>
      <w:r>
        <w:t xml:space="preserve"> Para os casos concret</w:t>
      </w:r>
      <w:r>
        <w:t xml:space="preserve">os de comprovação da implantação de fossas sépticas em passeio público, efetivadas até a vigência desta lei complementar, será permitida a regularização do imóvel a título precário até que seja implantada a rede pública de coleta de esgotamento sanitário, </w:t>
      </w:r>
      <w:r>
        <w:t>em cumprimento aos artigos 185 e 189 da Lei Complementar nº 120/2006.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t xml:space="preserve">  </w:t>
      </w:r>
      <w:r>
        <w:rPr>
          <w:b/>
        </w:rPr>
        <w:t>§ 1º.</w:t>
      </w:r>
      <w:r>
        <w:t xml:space="preserve"> Em locais que já existe implantada a rede pública de esgotamento sanitário, não será permitida a utilização de fossa séptica no passeio público, sendo necessária a sua inutiliza</w:t>
      </w:r>
      <w:r>
        <w:t>ção com aterramento e adequação, mediante interligação no sistema de coleta de esgoto existente;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ind w:left="-5" w:right="0"/>
      </w:pPr>
      <w:r>
        <w:rPr>
          <w:b/>
        </w:rPr>
        <w:t xml:space="preserve">  § 1º.</w:t>
      </w:r>
      <w:r>
        <w:t xml:space="preserve"> Para efeito da aplicação do </w:t>
      </w:r>
      <w:r>
        <w:rPr>
          <w:i/>
        </w:rPr>
        <w:t>caput</w:t>
      </w:r>
      <w:r>
        <w:t xml:space="preserve"> deste artigo, devera o proprietário providenciar declaração de profissional técnico atestando a estabilidade, segura</w:t>
      </w:r>
      <w:r>
        <w:t>nça e não comprometimento ambiental do uso das fossas sépticas, por meio de laudo acompanhado de Anotação de Responsabilidade Técnica (ART) ou Registro de Responsabilidade Técnica (RRT).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spacing w:after="75" w:line="307" w:lineRule="auto"/>
        <w:ind w:left="0" w:right="0" w:firstLine="0"/>
        <w:jc w:val="left"/>
      </w:pPr>
      <w:r>
        <w:rPr>
          <w:b/>
        </w:rPr>
        <w:lastRenderedPageBreak/>
        <w:t xml:space="preserve">  </w:t>
      </w:r>
      <w:r>
        <w:rPr>
          <w:b/>
        </w:rPr>
        <w:tab/>
        <w:t>Art. 8º.</w:t>
      </w:r>
      <w:r>
        <w:t xml:space="preserve"> Os imóveis que não destinarem área permeável, poderão op</w:t>
      </w:r>
      <w:r>
        <w:t>tar por implantar poços de recarga com volume referente ao coeficiente proporcional, visando a não aplicação da tala descrita no item 2 do Anexo I.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 xml:space="preserve">  </w:t>
      </w:r>
      <w:r>
        <w:rPr>
          <w:b/>
        </w:rPr>
        <w:tab/>
        <w:t>Art. 9º.</w:t>
      </w:r>
      <w:r>
        <w:t xml:space="preserve"> Esta Lei Complementar entra em vigor na data de sua publicação, revogando-se as disposições cont</w:t>
      </w:r>
      <w:r>
        <w:t>rárias, em especial as leis complementares nº 411/2019, 433/2019 e 458/2020.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spacing w:after="92"/>
        <w:ind w:left="0" w:firstLine="0"/>
        <w:jc w:val="center"/>
      </w:pPr>
      <w:r>
        <w:rPr>
          <w:b/>
        </w:rPr>
        <w:t>MUNICÍPIO DE ANÁPOLIS – GO</w:t>
      </w:r>
      <w:r>
        <w:t>, 26 DE DEZEMBRO DE 2023.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spacing w:after="0"/>
        <w:ind w:left="48" w:right="0" w:firstLine="0"/>
        <w:jc w:val="center"/>
      </w:pPr>
      <w:r>
        <w:rPr>
          <w:b/>
          <w:i/>
        </w:rPr>
        <w:t xml:space="preserve"> </w:t>
      </w:r>
    </w:p>
    <w:p w:rsidR="00E365E7" w:rsidRDefault="00BF59AC">
      <w:pPr>
        <w:spacing w:after="14"/>
        <w:ind w:left="48" w:right="0" w:firstLine="0"/>
        <w:jc w:val="center"/>
      </w:pPr>
      <w:r>
        <w:rPr>
          <w:b/>
          <w:i/>
        </w:rPr>
        <w:t xml:space="preserve"> </w:t>
      </w:r>
    </w:p>
    <w:p w:rsidR="00E365E7" w:rsidRDefault="00BF59AC">
      <w:pPr>
        <w:spacing w:after="0" w:line="270" w:lineRule="auto"/>
        <w:ind w:left="2751" w:right="2701" w:firstLine="0"/>
        <w:jc w:val="center"/>
      </w:pPr>
      <w:r>
        <w:rPr>
          <w:b/>
          <w:i/>
        </w:rPr>
        <w:t>ROBERTO NAVES E SIQUEIRA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PREFEITO MUNICIPAL</w:t>
      </w:r>
      <w:r>
        <w:rPr>
          <w:rFonts w:ascii="Times New Roman" w:eastAsia="Times New Roman" w:hAnsi="Times New Roman" w:cs="Times New Roman"/>
        </w:rPr>
        <w:t xml:space="preserve"> </w:t>
      </w:r>
    </w:p>
    <w:p w:rsidR="00E365E7" w:rsidRDefault="00BF59AC">
      <w:pPr>
        <w:spacing w:after="41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38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38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41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38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41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38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0"/>
        <w:ind w:left="43" w:right="0" w:firstLine="0"/>
        <w:jc w:val="center"/>
      </w:pPr>
      <w:r>
        <w:rPr>
          <w:b/>
          <w:sz w:val="20"/>
        </w:rPr>
        <w:t xml:space="preserve"> </w:t>
      </w:r>
    </w:p>
    <w:p w:rsidR="00E365E7" w:rsidRDefault="00BF59AC">
      <w:pPr>
        <w:spacing w:after="65"/>
        <w:ind w:left="0" w:right="4" w:firstLine="0"/>
        <w:jc w:val="center"/>
      </w:pPr>
      <w:r>
        <w:rPr>
          <w:b/>
          <w:sz w:val="20"/>
          <w:u w:val="double" w:color="000000"/>
        </w:rPr>
        <w:t>A N E X O I</w:t>
      </w:r>
      <w:r>
        <w:rPr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365E7" w:rsidRDefault="00BF59AC">
      <w:pPr>
        <w:spacing w:after="0" w:line="314" w:lineRule="auto"/>
        <w:ind w:left="1625" w:right="1522" w:firstLine="0"/>
        <w:jc w:val="center"/>
      </w:pPr>
      <w:r>
        <w:rPr>
          <w:b/>
          <w:sz w:val="20"/>
        </w:rPr>
        <w:t xml:space="preserve">MULTAS A SEREM APLICADAS EM RAZÃO DAS DISPOSIÇÕES DESTA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b/>
          <w:sz w:val="20"/>
        </w:rPr>
        <w:t xml:space="preserve">LEI COMPLEMENTAR DE REGULARIZAÇÃO DE OBRAS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365E7" w:rsidRDefault="00BF59A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182" w:type="dxa"/>
        <w:tblInd w:w="-60" w:type="dxa"/>
        <w:tblCellMar>
          <w:top w:w="89" w:type="dxa"/>
          <w:left w:w="53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4592"/>
        <w:gridCol w:w="4590"/>
      </w:tblGrid>
      <w:tr w:rsidR="00E365E7">
        <w:trPr>
          <w:trHeight w:val="350"/>
        </w:trPr>
        <w:tc>
          <w:tcPr>
            <w:tcW w:w="9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40" w:firstLine="0"/>
              <w:jc w:val="center"/>
            </w:pPr>
            <w:r>
              <w:rPr>
                <w:b/>
                <w:sz w:val="20"/>
              </w:rPr>
              <w:t>1.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20"/>
              </w:rPr>
              <w:t>REFERENTE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20"/>
              </w:rPr>
              <w:t>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20"/>
              </w:rPr>
              <w:t>DESOBEDIÊNCIA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20"/>
              </w:rPr>
              <w:t>AOS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20"/>
              </w:rPr>
              <w:t>RECUOS: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 xml:space="preserve">A) edificações de área total construída até 150,00m²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R$ 5,00/m² (cinco reais por metro quadrado de área irregular);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</w:pPr>
            <w:r>
              <w:rPr>
                <w:sz w:val="20"/>
              </w:rPr>
              <w:t>B) edificações de área total construída acima de 150,00m² até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 xml:space="preserve">R$ 10,00/m² (dez reais por metro quadrado de área irregular);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C) edificações de área total construída acima de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R$ 20,00/m² (vinte reais por metro quadrado de área irregular);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365E7" w:rsidRDefault="00BF59A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182" w:type="dxa"/>
        <w:tblInd w:w="-60" w:type="dxa"/>
        <w:tblCellMar>
          <w:top w:w="89" w:type="dxa"/>
          <w:left w:w="53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4592"/>
        <w:gridCol w:w="4590"/>
      </w:tblGrid>
      <w:tr w:rsidR="00E365E7">
        <w:trPr>
          <w:trHeight w:val="578"/>
        </w:trPr>
        <w:tc>
          <w:tcPr>
            <w:tcW w:w="9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1596" w:right="1580" w:firstLine="0"/>
              <w:jc w:val="center"/>
            </w:pPr>
            <w:r>
              <w:rPr>
                <w:b/>
                <w:sz w:val="20"/>
              </w:rPr>
              <w:t>2. REFERENTE À DESOBEDIÊNCIA DA ÁREA PERMEÁVEL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b/>
                <w:sz w:val="20"/>
              </w:rPr>
              <w:t>ESTABELECIDA PELA</w:t>
            </w:r>
            <w:r>
              <w:rPr>
                <w:b/>
                <w:sz w:val="20"/>
              </w:rPr>
              <w:t xml:space="preserve"> LEI COMPLEMENTAR Nº 349/2016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A) edificações de área total construída até 150,00m²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R$ 20,00/m² (vinte reais por metro quadrado de área irregular)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</w:pPr>
            <w:r>
              <w:rPr>
                <w:sz w:val="20"/>
              </w:rPr>
              <w:t>B) edificações de área total construída acima de 150,00m² até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 xml:space="preserve">R$ 30,00/m² (trinta reais por metro quadrado de área irregular);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C) edificações de área total construída acima de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44"/>
              <w:ind w:left="0" w:right="0" w:firstLine="0"/>
            </w:pPr>
            <w:r>
              <w:rPr>
                <w:sz w:val="20"/>
              </w:rPr>
              <w:t xml:space="preserve">R$ 50,00/m² (cinquenta reais por metro quadrado de área </w:t>
            </w:r>
          </w:p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irregular)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365E7" w:rsidRDefault="00BF59A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182" w:type="dxa"/>
        <w:tblInd w:w="-60" w:type="dxa"/>
        <w:tblCellMar>
          <w:top w:w="92" w:type="dxa"/>
          <w:left w:w="53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4592"/>
        <w:gridCol w:w="4590"/>
      </w:tblGrid>
      <w:tr w:rsidR="00E365E7">
        <w:trPr>
          <w:trHeight w:val="578"/>
        </w:trPr>
        <w:tc>
          <w:tcPr>
            <w:tcW w:w="9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1414" w:right="1397" w:firstLine="0"/>
              <w:jc w:val="center"/>
            </w:pPr>
            <w:r>
              <w:rPr>
                <w:b/>
                <w:sz w:val="20"/>
              </w:rPr>
              <w:t>3. REFERENTE À NÃO IMPLANTAÇÃO DO POÇO DE RECARGA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b/>
                <w:sz w:val="20"/>
              </w:rPr>
              <w:t xml:space="preserve">ESTABELECIDA PELA LEI COMPLEMENTAR Nº 349/2016.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723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A) edificações de área total construída até 200,00m²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R$ 300,00/m² (trezentos reais por metro cúbico de poço não implantado)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</w:pPr>
            <w:r>
              <w:rPr>
                <w:sz w:val="20"/>
              </w:rPr>
              <w:t>B) edificações de área total construída acima de 200,00m² até 400,00m²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</w:pPr>
            <w:r>
              <w:rPr>
                <w:sz w:val="20"/>
              </w:rPr>
              <w:t>R$ 500,00/m² (quinhentos reais por metro cúbico de poço não implantado)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C) edificações de área total construída acima de 400,00m²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R$ 1.000,00/m² (hum mil reais por metro cúbico de poço não implantado)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365E7" w:rsidRDefault="00BF59A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182" w:type="dxa"/>
        <w:tblInd w:w="-60" w:type="dxa"/>
        <w:tblCellMar>
          <w:top w:w="92" w:type="dxa"/>
          <w:left w:w="53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4592"/>
        <w:gridCol w:w="4590"/>
      </w:tblGrid>
      <w:tr w:rsidR="00E365E7">
        <w:trPr>
          <w:trHeight w:val="578"/>
        </w:trPr>
        <w:tc>
          <w:tcPr>
            <w:tcW w:w="9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1491" w:right="1473" w:firstLine="0"/>
              <w:jc w:val="center"/>
            </w:pPr>
            <w:r>
              <w:rPr>
                <w:b/>
                <w:sz w:val="20"/>
              </w:rPr>
              <w:t>4. REFERENTE À DESOBEDIÊNCIA DA LEI COMPLEMENTAR Nº 349/2016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b/>
                <w:sz w:val="20"/>
              </w:rPr>
              <w:t xml:space="preserve">QUE EXIGE A TAXA DE OCUPAÇÃO MÁXIMA DA ÁREA DO LOTE.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A) edificações de área total construída até 150,00m²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R$ 20,00/m² (vinte reais por metro quadrado de área irregular)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</w:pPr>
            <w:r>
              <w:rPr>
                <w:sz w:val="20"/>
              </w:rPr>
              <w:t>B) edificações de área total construída acima de 150,00m² até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 xml:space="preserve">R$ 30,00/m² (trinta reais por metro quadrado de área irregular);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72"/>
        </w:trPr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2" w:right="0" w:firstLine="0"/>
              <w:jc w:val="left"/>
            </w:pPr>
            <w:r>
              <w:rPr>
                <w:sz w:val="20"/>
              </w:rPr>
              <w:t>C) edificações de área total construída acima de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47"/>
              <w:ind w:left="0" w:right="0" w:firstLine="0"/>
            </w:pPr>
            <w:r>
              <w:rPr>
                <w:sz w:val="20"/>
              </w:rPr>
              <w:t xml:space="preserve">R$ 50,00/m² (cinquenta reais por metro quadrado de área </w:t>
            </w:r>
          </w:p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irregular)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365E7" w:rsidRDefault="00BF59AC">
      <w:pPr>
        <w:spacing w:after="0"/>
        <w:ind w:left="0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159" w:type="dxa"/>
        <w:tblInd w:w="-46" w:type="dxa"/>
        <w:tblCellMar>
          <w:top w:w="13" w:type="dxa"/>
          <w:left w:w="41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4465"/>
        <w:gridCol w:w="4694"/>
      </w:tblGrid>
      <w:tr w:rsidR="00E365E7">
        <w:trPr>
          <w:trHeight w:val="809"/>
        </w:trPr>
        <w:tc>
          <w:tcPr>
            <w:tcW w:w="9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8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4. </w:t>
            </w:r>
            <w:r>
              <w:rPr>
                <w:b/>
                <w:sz w:val="20"/>
              </w:rPr>
              <w:t>REFERENTE À DESOBEDIÊNCIA AO ARTIGO 19 DA LEI COMPLEMENTAR Nº 128/2006,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E365E7" w:rsidRDefault="00BF59AC">
            <w:pPr>
              <w:spacing w:after="6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QUE EXIGE O ÍNDICE DE APROVEITAMENTO BÁSICO IGUAL A UMA VEZ A ÁREA DO TERRENO.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E365E7" w:rsidRDefault="00BF59AC">
            <w:pPr>
              <w:spacing w:after="0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APLICÁVEL ÀS EDIFICAÇÕES CONSTRUÍDAS A PARTIR DE 10 DE OUTUBRO DE 2006.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341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a) edificações de área total construída até 150,00m²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14" w:right="0" w:firstLine="0"/>
            </w:pPr>
            <w:r>
              <w:rPr>
                <w:sz w:val="20"/>
              </w:rPr>
              <w:t>R$ 20,00/m² (vinte reais por metro quadrado de área irregular)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569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</w:pPr>
            <w:r>
              <w:rPr>
                <w:sz w:val="20"/>
              </w:rPr>
              <w:t>b) edificações de área total construída acima de 150,00m² até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14" w:right="0" w:firstLine="0"/>
              <w:jc w:val="left"/>
            </w:pPr>
            <w:r>
              <w:rPr>
                <w:sz w:val="20"/>
              </w:rPr>
              <w:t xml:space="preserve">R$ 30,00/m² (trinta reais por metro quadrado de área irregular);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3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0" w:right="0" w:firstLine="0"/>
              <w:jc w:val="left"/>
            </w:pPr>
            <w:r>
              <w:rPr>
                <w:sz w:val="20"/>
              </w:rPr>
              <w:t>c) edificações de área total construída acima de 250,00m²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5E7" w:rsidRDefault="00BF59AC">
            <w:pPr>
              <w:spacing w:after="0"/>
              <w:ind w:left="14" w:right="0" w:firstLine="0"/>
              <w:jc w:val="left"/>
            </w:pPr>
            <w:r>
              <w:rPr>
                <w:sz w:val="20"/>
              </w:rPr>
              <w:t xml:space="preserve">R$ 50,00/m² </w:t>
            </w:r>
            <w:r>
              <w:rPr>
                <w:sz w:val="18"/>
              </w:rPr>
              <w:t>(cinquenta reais por metro quadrado de área irregular)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365E7">
        <w:trPr>
          <w:trHeight w:val="308"/>
        </w:trPr>
        <w:tc>
          <w:tcPr>
            <w:tcW w:w="915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E365E7" w:rsidRDefault="00BF59AC">
            <w:pPr>
              <w:spacing w:after="0"/>
              <w:ind w:left="5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000000" w:rsidRDefault="00BF59AC"/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498" w:right="1129" w:bottom="891" w:left="1702" w:header="714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F59AC">
      <w:pPr>
        <w:spacing w:after="0" w:line="240" w:lineRule="auto"/>
      </w:pPr>
      <w:r>
        <w:separator/>
      </w:r>
    </w:p>
  </w:endnote>
  <w:endnote w:type="continuationSeparator" w:id="0">
    <w:p w:rsidR="00000000" w:rsidRDefault="00BF5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5E7" w:rsidRDefault="00BF59AC">
    <w:pPr>
      <w:spacing w:after="0"/>
      <w:ind w:left="0" w:right="40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5E7" w:rsidRDefault="00BF59AC">
    <w:pPr>
      <w:spacing w:after="0"/>
      <w:ind w:left="0" w:right="40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5E7" w:rsidRDefault="00BF59AC">
    <w:pPr>
      <w:spacing w:after="0"/>
      <w:ind w:left="0" w:right="40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F59AC">
      <w:pPr>
        <w:spacing w:after="0" w:line="240" w:lineRule="auto"/>
      </w:pPr>
      <w:r>
        <w:separator/>
      </w:r>
    </w:p>
  </w:footnote>
  <w:footnote w:type="continuationSeparator" w:id="0">
    <w:p w:rsidR="00000000" w:rsidRDefault="00BF5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5E7" w:rsidRDefault="00BF59AC">
    <w:pPr>
      <w:spacing w:after="0"/>
      <w:ind w:left="60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3709924</wp:posOffset>
          </wp:positionH>
          <wp:positionV relativeFrom="page">
            <wp:posOffset>453656</wp:posOffset>
          </wp:positionV>
          <wp:extent cx="500520" cy="566534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0520" cy="566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:rsidR="00E365E7" w:rsidRDefault="00BF59AC">
    <w:pPr>
      <w:spacing w:after="0"/>
      <w:ind w:left="0" w:right="779" w:firstLine="0"/>
      <w:jc w:val="right"/>
    </w:pPr>
    <w:r>
      <w:rPr>
        <w:rFonts w:ascii="Calibri" w:eastAsia="Calibri" w:hAnsi="Calibri" w:cs="Calibri"/>
        <w:b/>
        <w:sz w:val="16"/>
      </w:rPr>
      <w:t xml:space="preserve">PUBLICADA NO D.O.M </w:t>
    </w:r>
  </w:p>
  <w:p w:rsidR="00E365E7" w:rsidRDefault="00BF59AC">
    <w:pPr>
      <w:spacing w:after="0" w:line="251" w:lineRule="auto"/>
      <w:ind w:left="3634" w:right="0" w:firstLine="3171"/>
    </w:pPr>
    <w:r>
      <w:rPr>
        <w:rFonts w:ascii="Calibri" w:eastAsia="Calibri" w:hAnsi="Calibri" w:cs="Calibri"/>
        <w:b/>
        <w:sz w:val="16"/>
      </w:rPr>
      <w:t xml:space="preserve">DIA: </w:t>
    </w:r>
    <w:r>
      <w:rPr>
        <w:rFonts w:ascii="Calibri" w:eastAsia="Calibri" w:hAnsi="Calibri" w:cs="Calibri"/>
        <w:b/>
        <w:sz w:val="16"/>
      </w:rPr>
      <w:t xml:space="preserve">26/12/2023 - PÁG: 02/03 </w:t>
    </w:r>
    <w:r>
      <w:rPr>
        <w:b/>
        <w:sz w:val="18"/>
        <w:u w:val="double" w:color="000000"/>
      </w:rPr>
      <w:t>GABINETE DO PREFEITO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:rsidR="00E365E7" w:rsidRDefault="00BF59AC">
    <w:pPr>
      <w:spacing w:after="0"/>
      <w:ind w:left="0" w:right="-34" w:firstLine="0"/>
      <w:jc w:val="right"/>
    </w:pPr>
    <w:r>
      <w:rPr>
        <w:b/>
        <w:sz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5E7" w:rsidRDefault="00BF59AC">
    <w:pPr>
      <w:spacing w:after="0"/>
      <w:ind w:left="60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3709924</wp:posOffset>
          </wp:positionH>
          <wp:positionV relativeFrom="page">
            <wp:posOffset>453656</wp:posOffset>
          </wp:positionV>
          <wp:extent cx="500520" cy="566534"/>
          <wp:effectExtent l="0" t="0" r="0" b="0"/>
          <wp:wrapSquare wrapText="bothSides"/>
          <wp:docPr id="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0520" cy="566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:rsidR="00E365E7" w:rsidRDefault="00BF59AC">
    <w:pPr>
      <w:spacing w:after="0"/>
      <w:ind w:left="0" w:right="779" w:firstLine="0"/>
      <w:jc w:val="right"/>
    </w:pPr>
    <w:r>
      <w:rPr>
        <w:rFonts w:ascii="Calibri" w:eastAsia="Calibri" w:hAnsi="Calibri" w:cs="Calibri"/>
        <w:b/>
        <w:sz w:val="16"/>
      </w:rPr>
      <w:t xml:space="preserve">PUBLICADA NO D.O.M </w:t>
    </w:r>
  </w:p>
  <w:p w:rsidR="00E365E7" w:rsidRDefault="00BF59AC">
    <w:pPr>
      <w:spacing w:after="0" w:line="251" w:lineRule="auto"/>
      <w:ind w:left="3634" w:right="0" w:firstLine="3171"/>
    </w:pPr>
    <w:r>
      <w:rPr>
        <w:rFonts w:ascii="Calibri" w:eastAsia="Calibri" w:hAnsi="Calibri" w:cs="Calibri"/>
        <w:b/>
        <w:sz w:val="16"/>
      </w:rPr>
      <w:t xml:space="preserve">DIA: 26/12/2023 - PÁG: 02/03 </w:t>
    </w:r>
    <w:r>
      <w:rPr>
        <w:b/>
        <w:sz w:val="18"/>
        <w:u w:val="double" w:color="000000"/>
      </w:rPr>
      <w:t>GABINETE DO PREFEITO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:rsidR="00E365E7" w:rsidRDefault="00BF59AC">
    <w:pPr>
      <w:spacing w:after="0"/>
      <w:ind w:left="0" w:right="-34" w:firstLine="0"/>
      <w:jc w:val="right"/>
    </w:pPr>
    <w:r>
      <w:rPr>
        <w:b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65E7" w:rsidRDefault="00BF59AC">
    <w:pPr>
      <w:spacing w:after="0"/>
      <w:ind w:left="60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3709924</wp:posOffset>
          </wp:positionH>
          <wp:positionV relativeFrom="page">
            <wp:posOffset>453656</wp:posOffset>
          </wp:positionV>
          <wp:extent cx="500520" cy="566534"/>
          <wp:effectExtent l="0" t="0" r="0" b="0"/>
          <wp:wrapSquare wrapText="bothSides"/>
          <wp:docPr id="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0520" cy="566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:rsidR="00E365E7" w:rsidRDefault="00BF59AC">
    <w:pPr>
      <w:spacing w:after="0"/>
      <w:ind w:left="0" w:right="779" w:firstLine="0"/>
      <w:jc w:val="right"/>
    </w:pPr>
    <w:r>
      <w:rPr>
        <w:rFonts w:ascii="Calibri" w:eastAsia="Calibri" w:hAnsi="Calibri" w:cs="Calibri"/>
        <w:b/>
        <w:sz w:val="16"/>
      </w:rPr>
      <w:t xml:space="preserve">PUBLICADA NO D.O.M </w:t>
    </w:r>
  </w:p>
  <w:p w:rsidR="00E365E7" w:rsidRDefault="00BF59AC">
    <w:pPr>
      <w:spacing w:after="0" w:line="251" w:lineRule="auto"/>
      <w:ind w:left="3634" w:right="0" w:firstLine="3171"/>
    </w:pPr>
    <w:r>
      <w:rPr>
        <w:rFonts w:ascii="Calibri" w:eastAsia="Calibri" w:hAnsi="Calibri" w:cs="Calibri"/>
        <w:b/>
        <w:sz w:val="16"/>
      </w:rPr>
      <w:t xml:space="preserve">DIA: 26/12/2023 - PÁG: 02/03 </w:t>
    </w:r>
    <w:r>
      <w:rPr>
        <w:b/>
        <w:sz w:val="18"/>
        <w:u w:val="double" w:color="000000"/>
      </w:rPr>
      <w:t>GABINETE DO PREFEITO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:rsidR="00E365E7" w:rsidRDefault="00BF59AC">
    <w:pPr>
      <w:spacing w:after="0"/>
      <w:ind w:left="0" w:right="-34" w:firstLine="0"/>
      <w:jc w:val="right"/>
    </w:pPr>
    <w:r>
      <w:rPr>
        <w:b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07C39"/>
    <w:multiLevelType w:val="hybridMultilevel"/>
    <w:tmpl w:val="CE341D1A"/>
    <w:lvl w:ilvl="0" w:tplc="F87667D8">
      <w:start w:val="1"/>
      <w:numFmt w:val="upperRoman"/>
      <w:lvlText w:val="%1"/>
      <w:lvlJc w:val="left"/>
      <w:pPr>
        <w:ind w:left="2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D0A61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50CB6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F2B5F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6171C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7C9596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06ACE6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748C6E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A5934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9D76BA"/>
    <w:multiLevelType w:val="hybridMultilevel"/>
    <w:tmpl w:val="1DA825A2"/>
    <w:lvl w:ilvl="0" w:tplc="18B64D30">
      <w:start w:val="1"/>
      <w:numFmt w:val="upperRoman"/>
      <w:lvlText w:val="%1"/>
      <w:lvlJc w:val="left"/>
      <w:pPr>
        <w:ind w:left="2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8FA5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587764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C299D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406082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A01642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C130A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CAB89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DCB58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271502">
    <w:abstractNumId w:val="1"/>
  </w:num>
  <w:num w:numId="2" w16cid:durableId="193011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5E7"/>
    <w:rsid w:val="00BF59AC"/>
    <w:rsid w:val="00E3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/>
      <w:ind w:left="10" w:right="2" w:hanging="10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7284</Characters>
  <Application>Microsoft Office Word</Application>
  <DocSecurity>4</DocSecurity>
  <Lines>60</Lines>
  <Paragraphs>17</Paragraphs>
  <ScaleCrop>false</ScaleCrop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GOIÁS</dc:title>
  <dc:subject/>
  <dc:creator>usuario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