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3E57" w:rsidRDefault="008E1FDE">
      <w:pPr>
        <w:spacing w:after="170"/>
        <w:ind w:left="738"/>
        <w:jc w:val="center"/>
      </w:pPr>
      <w:r>
        <w:rPr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z w:val="24"/>
        </w:rPr>
        <w:t xml:space="preserve">NEXO I </w:t>
      </w:r>
    </w:p>
    <w:p w:rsidR="00433E57" w:rsidRDefault="008E1FDE">
      <w:pPr>
        <w:spacing w:after="0" w:line="248" w:lineRule="auto"/>
        <w:ind w:left="565"/>
      </w:pPr>
      <w:r>
        <w:rPr>
          <w:rFonts w:ascii="Times New Roman" w:eastAsia="Times New Roman" w:hAnsi="Times New Roman" w:cs="Times New Roman"/>
          <w:b/>
          <w:sz w:val="24"/>
        </w:rPr>
        <w:t>Cálculo das multas para requerimentos protocolados até 360 (trezentos e sessenta)</w:t>
      </w:r>
      <w:r>
        <w:rPr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dias da publicação desta Lei Complementar. </w:t>
      </w:r>
    </w:p>
    <w:p w:rsidR="00433E57" w:rsidRDefault="008E1FDE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433E57" w:rsidRDefault="008E1FDE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433E57" w:rsidRDefault="008E1FDE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644" w:type="dxa"/>
        <w:tblInd w:w="108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86"/>
        <w:gridCol w:w="1386"/>
        <w:gridCol w:w="1381"/>
        <w:gridCol w:w="1390"/>
        <w:gridCol w:w="1401"/>
      </w:tblGrid>
      <w:tr w:rsidR="00433E57">
        <w:trPr>
          <w:trHeight w:val="625"/>
        </w:trPr>
        <w:tc>
          <w:tcPr>
            <w:tcW w:w="40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58" w:type="dxa"/>
            <w:gridSpan w:val="4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Alíquota incidente sobre o valor do metro quadrado da construção utilizado no lançamento do IPTU </w:t>
            </w:r>
          </w:p>
        </w:tc>
      </w:tr>
      <w:tr w:rsidR="00433E57">
        <w:trPr>
          <w:trHeight w:val="330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Grupo A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Grupo B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Grupo C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Grupo D </w:t>
            </w:r>
          </w:p>
        </w:tc>
      </w:tr>
      <w:tr w:rsidR="00433E57">
        <w:trPr>
          <w:trHeight w:val="611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Coeficiente de aproveitamento ultrapassado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8,0%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6,0%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</w:tr>
      <w:tr w:rsidR="00433E57">
        <w:trPr>
          <w:trHeight w:val="605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Taxa de ocupação excedente em projeção horizontal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8,0%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6,0%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</w:tr>
      <w:tr w:rsidR="00433E57">
        <w:trPr>
          <w:trHeight w:val="610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Afastamento frontal mínimo, considerando todos os pavimentos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10,0%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6,0%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</w:tr>
      <w:tr w:rsidR="00433E57">
        <w:trPr>
          <w:trHeight w:val="1240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43" w:right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Número de vagas não atendidas inclusive (PNE e idoso) e vagas presas de unidades distintas, considerando 15m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de área cada vaga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135"/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135"/>
              <w:ind w:left="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3%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135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135"/>
              <w:ind w:left="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</w:tr>
      <w:tr w:rsidR="00433E57">
        <w:trPr>
          <w:trHeight w:val="605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Abertura de acesso de veículos superior a 6m ou 40% da testada*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3%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:rsidR="00433E57" w:rsidRDefault="008E1FD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</w:tr>
      <w:tr w:rsidR="00433E57">
        <w:trPr>
          <w:trHeight w:val="885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Área de construção edificada sobre logradouro público considerando todos os pavimentos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tabs>
                <w:tab w:val="center" w:pos="703"/>
              </w:tabs>
              <w:spacing w:after="0"/>
              <w:ind w:left="-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8,0%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6,0%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433E57" w:rsidRDefault="008E1FD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1,00% </w:t>
            </w:r>
          </w:p>
        </w:tc>
      </w:tr>
      <w:tr w:rsidR="00433E57">
        <w:trPr>
          <w:trHeight w:val="340"/>
        </w:trPr>
        <w:tc>
          <w:tcPr>
            <w:tcW w:w="4087" w:type="dxa"/>
            <w:tcBorders>
              <w:top w:val="single" w:sz="2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Área permeável </w:t>
            </w:r>
          </w:p>
        </w:tc>
        <w:tc>
          <w:tcPr>
            <w:tcW w:w="1386" w:type="dxa"/>
            <w:tcBorders>
              <w:top w:val="single" w:sz="2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8,0% </w:t>
            </w:r>
          </w:p>
        </w:tc>
        <w:tc>
          <w:tcPr>
            <w:tcW w:w="1381" w:type="dxa"/>
            <w:tcBorders>
              <w:top w:val="single" w:sz="2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6,0% </w:t>
            </w:r>
          </w:p>
        </w:tc>
        <w:tc>
          <w:tcPr>
            <w:tcW w:w="1390" w:type="dxa"/>
            <w:tcBorders>
              <w:top w:val="single" w:sz="2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401" w:type="dxa"/>
            <w:tcBorders>
              <w:top w:val="single" w:sz="2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33E57" w:rsidRDefault="008E1FD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</w:tr>
    </w:tbl>
    <w:p w:rsidR="00433E57" w:rsidRDefault="008E1FDE">
      <w:pPr>
        <w:spacing w:after="0" w:line="269" w:lineRule="auto"/>
        <w:ind w:left="110"/>
      </w:pPr>
      <w:r>
        <w:rPr>
          <w:rFonts w:ascii="Times New Roman" w:eastAsia="Times New Roman" w:hAnsi="Times New Roman" w:cs="Times New Roman"/>
          <w:sz w:val="24"/>
        </w:rPr>
        <w:t xml:space="preserve">* A multa será calculada sobre a área obtida multiplicando a metragem linear </w:t>
      </w:r>
      <w:r>
        <w:rPr>
          <w:rFonts w:ascii="Times New Roman" w:eastAsia="Times New Roman" w:hAnsi="Times New Roman" w:cs="Times New Roman"/>
          <w:sz w:val="24"/>
        </w:rPr>
        <w:t>excedente na fachada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pelo</w:t>
      </w:r>
      <w:r>
        <w:rPr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valor do recuo mínimo obrigatório estabelecido no Anexo 8 da Lei nº 6.910, de 1986. </w:t>
      </w:r>
    </w:p>
    <w:sectPr w:rsidR="00433E57">
      <w:pgSz w:w="11910" w:h="16840"/>
      <w:pgMar w:top="1440" w:right="1190" w:bottom="1440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57"/>
    <w:rsid w:val="00433E57"/>
    <w:rsid w:val="008E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940</Characters>
  <Application>Microsoft Office Word</Application>
  <DocSecurity>4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 Rachello</dc:creator>
  <cp:keywords/>
  <cp:lastModifiedBy>FAST PREV</cp:lastModifiedBy>
  <cp:revision>2</cp:revision>
  <dcterms:created xsi:type="dcterms:W3CDTF">2026-08-19T18:21:00Z</dcterms:created>
  <dcterms:modified xsi:type="dcterms:W3CDTF">2026-08-19T18:21:00Z</dcterms:modified>
</cp:coreProperties>
</file>