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E562F" w:rsidRDefault="009941CF">
      <w:pPr>
        <w:tabs>
          <w:tab w:val="right" w:pos="10501"/>
        </w:tabs>
        <w:spacing w:after="0" w:line="259" w:lineRule="auto"/>
        <w:ind w:left="0" w:firstLine="0"/>
        <w:jc w:val="left"/>
      </w:pPr>
      <w:r>
        <w:rPr>
          <w:rFonts w:ascii="Arial" w:eastAsia="Arial" w:hAnsi="Arial" w:cs="Arial"/>
          <w:b/>
          <w:color w:val="FFFFFF"/>
          <w:sz w:val="16"/>
        </w:rPr>
        <w:t>Ano I | Edição nº 199 | 03/10/2025</w:t>
      </w:r>
      <w:r>
        <w:rPr>
          <w:rFonts w:ascii="Arial" w:eastAsia="Arial" w:hAnsi="Arial" w:cs="Arial"/>
          <w:b/>
          <w:color w:val="FFFFFF"/>
          <w:sz w:val="16"/>
        </w:rPr>
        <w:tab/>
        <w:t>WWW.PRAIAGRANDE.SP.GOV.BR</w:t>
      </w:r>
    </w:p>
    <w:p w:rsidR="007E562F" w:rsidRDefault="007E562F">
      <w:pPr>
        <w:sectPr w:rsidR="007E562F">
          <w:headerReference w:type="even" r:id="rId7"/>
          <w:headerReference w:type="default" r:id="rId8"/>
          <w:footerReference w:type="even" r:id="rId9"/>
          <w:footerReference w:type="default" r:id="rId10"/>
          <w:headerReference w:type="first" r:id="rId11"/>
          <w:footerReference w:type="first" r:id="rId12"/>
          <w:pgSz w:w="11906" w:h="16838"/>
          <w:pgMar w:top="2835" w:right="673" w:bottom="1282" w:left="732" w:header="720" w:footer="720" w:gutter="0"/>
          <w:pgNumType w:start="4"/>
          <w:cols w:space="720"/>
        </w:sectPr>
      </w:pPr>
    </w:p>
    <w:p w:rsidR="007E562F" w:rsidRDefault="009941CF">
      <w:pPr>
        <w:ind w:left="-5" w:right="9"/>
      </w:pPr>
      <w:r>
        <w:t>Secretaria de Urbanismo.</w:t>
      </w:r>
    </w:p>
    <w:p w:rsidR="007E562F" w:rsidRDefault="009941CF">
      <w:pPr>
        <w:ind w:left="-5" w:right="9"/>
      </w:pPr>
      <w:r>
        <w:t>Art. 9º É vedado a qualquer servidor ou autoridade atuar em processo administrativo quando:</w:t>
      </w:r>
    </w:p>
    <w:p w:rsidR="007E562F" w:rsidRDefault="009941CF">
      <w:pPr>
        <w:numPr>
          <w:ilvl w:val="0"/>
          <w:numId w:val="1"/>
        </w:numPr>
        <w:ind w:right="9"/>
      </w:pPr>
      <w:r>
        <w:t>– tiver a</w:t>
      </w:r>
      <w:r>
        <w:t>tuado ou venha a atuar como perito, testemunhaou representante, ou mantiver vínculo até o terceiro grau com o interessado;</w:t>
      </w:r>
    </w:p>
    <w:p w:rsidR="007E562F" w:rsidRDefault="009941CF">
      <w:pPr>
        <w:numPr>
          <w:ilvl w:val="0"/>
          <w:numId w:val="1"/>
        </w:numPr>
        <w:ind w:right="9"/>
      </w:pPr>
      <w:r>
        <w:t>– estiver litigando, judicial ou administrativamente,contra o interessado;</w:t>
      </w:r>
    </w:p>
    <w:p w:rsidR="007E562F" w:rsidRDefault="009941CF">
      <w:pPr>
        <w:numPr>
          <w:ilvl w:val="0"/>
          <w:numId w:val="1"/>
        </w:numPr>
        <w:ind w:right="9"/>
      </w:pPr>
      <w:r>
        <w:t>– tiver proferido decisão em instância anterior relativaao</w:t>
      </w:r>
      <w:r>
        <w:t xml:space="preserve"> mesmo processo.</w:t>
      </w:r>
    </w:p>
    <w:p w:rsidR="007E562F" w:rsidRDefault="009941CF">
      <w:pPr>
        <w:ind w:left="-5" w:right="9"/>
      </w:pPr>
      <w:r>
        <w:t>Parágrafo único. A omissão no dever de declarar o impedimento configurará falta grave para efeitos disciplinares.</w:t>
      </w:r>
    </w:p>
    <w:p w:rsidR="007E562F" w:rsidRDefault="009941CF">
      <w:pPr>
        <w:ind w:left="-5" w:right="9"/>
      </w:pPr>
      <w:r>
        <w:t>Art. 10 Poderá ser arguida a suspeição de autoridade ou servidor que:</w:t>
      </w:r>
    </w:p>
    <w:p w:rsidR="007E562F" w:rsidRDefault="009941CF">
      <w:pPr>
        <w:ind w:left="-5" w:right="9"/>
      </w:pPr>
      <w:r>
        <w:t>I – tenha interesse pessoal, direto ou indireto, na mat</w:t>
      </w:r>
      <w:r>
        <w:t>éria; II – possua amizade íntima ou inimizade notória com qualquer das partes ou com seus parentes até o terceiro grau.</w:t>
      </w:r>
    </w:p>
    <w:p w:rsidR="007E562F" w:rsidRDefault="009941CF">
      <w:pPr>
        <w:ind w:left="-5" w:right="9"/>
      </w:pPr>
      <w:r>
        <w:t>§ 1º A autoridade ou servidor poderá declarar-se suspeito por motivo de foro íntimo, independentemente de justificativa.</w:t>
      </w:r>
    </w:p>
    <w:p w:rsidR="007E562F" w:rsidRDefault="009941CF">
      <w:pPr>
        <w:ind w:left="-5" w:right="9"/>
      </w:pPr>
      <w:r>
        <w:t>§ 2º O indeferi</w:t>
      </w:r>
      <w:r>
        <w:t>mento da alegação de suspeição poderá ser objeto de recurso, sem efeito suspensivo.</w:t>
      </w:r>
    </w:p>
    <w:p w:rsidR="007E562F" w:rsidRDefault="009941CF">
      <w:pPr>
        <w:ind w:left="-5" w:right="9"/>
      </w:pPr>
      <w:r>
        <w:t>Art. 11 Os engenheiros e arquitetos habilitados por esta Lei</w:t>
      </w:r>
    </w:p>
    <w:p w:rsidR="007E562F" w:rsidRDefault="009941CF">
      <w:pPr>
        <w:ind w:left="-5" w:right="9"/>
      </w:pPr>
      <w:r>
        <w:t>Complementar responderão civil, penal e administrativamente pelo exercício irregular de suas atribuições.</w:t>
      </w:r>
    </w:p>
    <w:p w:rsidR="007E562F" w:rsidRDefault="009941CF">
      <w:pPr>
        <w:ind w:left="-5" w:right="9"/>
      </w:pPr>
      <w:r>
        <w:t xml:space="preserve">Art. </w:t>
      </w:r>
      <w:r>
        <w:t>12 A Secretaria de Urbanismo realizará auditorias periódicas, em caráter amostral, nos projetos aprovados pelos servidores habilitados, para fins de controle, padronização e segurança técnica.</w:t>
      </w:r>
    </w:p>
    <w:p w:rsidR="007E562F" w:rsidRDefault="009941CF">
      <w:pPr>
        <w:ind w:left="-5" w:right="9"/>
      </w:pPr>
      <w:r>
        <w:t>Art. 13 A participação dos engenheiros e arquitetos neste progr</w:t>
      </w:r>
      <w:r>
        <w:t>ama de agilização da aprovação e vistoria não poderá comprometer as atribuições inerentes à secretaria na qual estejam lotados.</w:t>
      </w:r>
    </w:p>
    <w:p w:rsidR="007E562F" w:rsidRDefault="009941CF">
      <w:pPr>
        <w:ind w:left="-5" w:right="9"/>
      </w:pPr>
      <w:r>
        <w:t>Art. 14 O Poder Executivo regulamentará esta Lei Complementar no prazo de 60 (sessenta) dias, contados da data de sua publicação</w:t>
      </w:r>
      <w:r>
        <w:t>.</w:t>
      </w:r>
    </w:p>
    <w:p w:rsidR="007E562F" w:rsidRDefault="009941CF">
      <w:pPr>
        <w:ind w:left="-5" w:right="105"/>
      </w:pPr>
      <w:r>
        <w:t>Art. 15 Esta Lei Complementar entra em vigor na data de sua publicação, revogadas as disposições em contrário. Palácio São Francisco de Assis, Prefeitura da Estância Balneária de Praia Grande, aos 1° de outubro de 2025 ano quinquagésimo nono da emancipação</w:t>
      </w:r>
      <w:r>
        <w:t>.</w:t>
      </w:r>
    </w:p>
    <w:p w:rsidR="007E562F" w:rsidRDefault="009941CF">
      <w:pPr>
        <w:ind w:left="-5" w:right="9"/>
      </w:pPr>
      <w:r>
        <w:t>ALBERTO PEREIRA MOURÃO</w:t>
      </w:r>
    </w:p>
    <w:p w:rsidR="007E562F" w:rsidRDefault="009941CF">
      <w:pPr>
        <w:ind w:left="-5" w:right="9"/>
      </w:pPr>
      <w:r>
        <w:t>PREFEITO</w:t>
      </w:r>
    </w:p>
    <w:p w:rsidR="007E562F" w:rsidRDefault="009941CF">
      <w:pPr>
        <w:ind w:left="-5" w:right="9"/>
      </w:pPr>
      <w:r>
        <w:t>Cássio de Castro Navarro</w:t>
      </w:r>
    </w:p>
    <w:p w:rsidR="007E562F" w:rsidRDefault="009941CF">
      <w:pPr>
        <w:ind w:left="-5" w:right="9"/>
      </w:pPr>
      <w:r>
        <w:t>Secretário Municipal de Governo</w:t>
      </w:r>
    </w:p>
    <w:p w:rsidR="007E562F" w:rsidRDefault="009941CF">
      <w:pPr>
        <w:ind w:left="-5" w:right="105"/>
      </w:pPr>
      <w:r>
        <w:t>Registrado e publicado na Secretaria de Administração, aos 1º de outubro de 2025. Ronaldo Ferreira de Alcântara</w:t>
      </w:r>
    </w:p>
    <w:p w:rsidR="007E562F" w:rsidRDefault="009941CF">
      <w:pPr>
        <w:ind w:left="-5" w:right="9"/>
      </w:pPr>
      <w:r>
        <w:t>Respondendo pela Secretaria Municipal de Administração</w:t>
      </w:r>
    </w:p>
    <w:p w:rsidR="007E562F" w:rsidRDefault="009941CF">
      <w:pPr>
        <w:spacing w:after="248"/>
        <w:ind w:left="-5" w:right="9"/>
      </w:pPr>
      <w:r>
        <w:t>Processo Administrativo nº 38025/2025</w:t>
      </w:r>
    </w:p>
    <w:p w:rsidR="007E562F" w:rsidRDefault="009941CF">
      <w:pPr>
        <w:spacing w:after="169" w:line="259" w:lineRule="auto"/>
        <w:ind w:left="0" w:firstLine="0"/>
        <w:jc w:val="left"/>
      </w:pPr>
      <w:r>
        <w:rPr>
          <w:b/>
          <w:sz w:val="28"/>
        </w:rPr>
        <w:t>Lei Complementar n° 1039-25</w:t>
      </w:r>
    </w:p>
    <w:p w:rsidR="007E562F" w:rsidRDefault="009941CF">
      <w:pPr>
        <w:ind w:left="-5" w:right="9"/>
      </w:pPr>
      <w:r>
        <w:t>LEI COMPLEMENTAR N° 103</w:t>
      </w:r>
      <w:r>
        <w:t>9</w:t>
      </w:r>
    </w:p>
    <w:p w:rsidR="007E562F" w:rsidRDefault="009941CF">
      <w:pPr>
        <w:ind w:left="-5" w:right="9"/>
      </w:pPr>
      <w:r>
        <w:t>De 1º De Outubro De 2025</w:t>
      </w:r>
    </w:p>
    <w:p w:rsidR="007E562F" w:rsidRDefault="009941CF">
      <w:pPr>
        <w:ind w:left="-5" w:right="105"/>
      </w:pPr>
      <w:r>
        <w:t>“Estabelece normas para a regularização de edificações existentes, reformas e acréscimos realizados sem aprovação legal, bem como para o desdobro, unificação e remanejamento de lotes, no Município de Praia Grande e em especial no</w:t>
      </w:r>
      <w:r>
        <w:t>s imóveis situados em áreas objeto de regularização fundiária de interesse social.”</w:t>
      </w:r>
    </w:p>
    <w:p w:rsidR="007E562F" w:rsidRDefault="009941CF">
      <w:pPr>
        <w:ind w:left="-5" w:right="105"/>
      </w:pPr>
      <w:r>
        <w:t>O Prefeito da Estância Balneária de Praia Grande no uso das atribuições que lhe são conferidas por Lei, faço saber que a Câmara Municipal, em sua Vigésima Sessão Extraordin</w:t>
      </w:r>
      <w:r>
        <w:t>ária, da Primeira Sessão Legislativa da Décima Quarta Legislatura, realizada em 30 de setembro de 2025, aprovou e eu promulgo a seguinte Lei Complementar:</w:t>
      </w:r>
    </w:p>
    <w:p w:rsidR="007E562F" w:rsidRDefault="009941CF">
      <w:pPr>
        <w:ind w:left="-5" w:right="9"/>
      </w:pPr>
      <w:r>
        <w:t>CAPÍTULO I</w:t>
      </w:r>
    </w:p>
    <w:p w:rsidR="007E562F" w:rsidRDefault="009941CF">
      <w:pPr>
        <w:ind w:left="-5" w:right="9"/>
      </w:pPr>
      <w:r>
        <w:t>DOS OBJETIVOS</w:t>
      </w:r>
    </w:p>
    <w:tbl>
      <w:tblPr>
        <w:tblStyle w:val="TableGrid"/>
        <w:tblpPr w:vertAnchor="text" w:horzAnchor="margin" w:tblpY="858"/>
        <w:tblOverlap w:val="never"/>
        <w:tblW w:w="10658" w:type="dxa"/>
        <w:tblInd w:w="0" w:type="dxa"/>
        <w:tblCellMar>
          <w:top w:w="16" w:type="dxa"/>
          <w:left w:w="165" w:type="dxa"/>
          <w:bottom w:w="0" w:type="dxa"/>
          <w:right w:w="0" w:type="dxa"/>
        </w:tblCellMar>
        <w:tblLook w:val="04A0" w:firstRow="1" w:lastRow="0" w:firstColumn="1" w:lastColumn="0" w:noHBand="0" w:noVBand="1"/>
      </w:tblPr>
      <w:tblGrid>
        <w:gridCol w:w="10658"/>
      </w:tblGrid>
      <w:tr w:rsidR="007E562F">
        <w:trPr>
          <w:trHeight w:val="169"/>
        </w:trPr>
        <w:tc>
          <w:tcPr>
            <w:tcW w:w="10501" w:type="dxa"/>
            <w:tcBorders>
              <w:top w:val="nil"/>
              <w:left w:val="nil"/>
              <w:bottom w:val="nil"/>
              <w:right w:val="nil"/>
            </w:tcBorders>
          </w:tcPr>
          <w:p w:rsidR="007E562F" w:rsidRDefault="009941CF">
            <w:pPr>
              <w:tabs>
                <w:tab w:val="right" w:pos="10493"/>
              </w:tabs>
              <w:spacing w:after="0" w:line="259" w:lineRule="auto"/>
              <w:ind w:left="0" w:right="-7" w:firstLine="0"/>
              <w:jc w:val="left"/>
            </w:pPr>
            <w:r>
              <w:rPr>
                <w:rFonts w:ascii="Arial" w:eastAsia="Arial" w:hAnsi="Arial" w:cs="Arial"/>
                <w:b/>
                <w:color w:val="FFFFFF"/>
                <w:sz w:val="16"/>
              </w:rPr>
              <w:t>Ano I | Edição nº 199 | 03/10/2025</w:t>
            </w:r>
            <w:r>
              <w:rPr>
                <w:rFonts w:ascii="Arial" w:eastAsia="Arial" w:hAnsi="Arial" w:cs="Arial"/>
                <w:b/>
                <w:color w:val="FFFFFF"/>
                <w:sz w:val="16"/>
              </w:rPr>
              <w:tab/>
              <w:t>WWW.PRAIAGRANDE.SP.GOV.BR</w:t>
            </w:r>
          </w:p>
        </w:tc>
      </w:tr>
    </w:tbl>
    <w:p w:rsidR="007E562F" w:rsidRDefault="009941CF">
      <w:pPr>
        <w:ind w:left="-5" w:right="105"/>
      </w:pPr>
      <w:r>
        <w:t xml:space="preserve">Art. 1° Fica autorizada a regularização de obras edificadas em imóveis particulares, concluídas ou não, bem como </w:t>
      </w:r>
      <w:r>
        <w:lastRenderedPageBreak/>
        <w:t>reformas com ou sem acréscimo de área, executadas sem a aprovação legal, além de desdobros e remanejamentos de lotes realizados em desacordo co</w:t>
      </w:r>
      <w:r>
        <w:t>m a legislação do ordenamento do uso, da ocupação e do parcelamento do solo, desde que não afronte a legislação notarial e registral, e aos seguintes requisitos:</w:t>
      </w:r>
    </w:p>
    <w:p w:rsidR="007E562F" w:rsidRDefault="009941CF">
      <w:pPr>
        <w:numPr>
          <w:ilvl w:val="0"/>
          <w:numId w:val="2"/>
        </w:numPr>
        <w:ind w:right="9"/>
      </w:pPr>
      <w:r>
        <w:t>– A irregularidade deve ter ocorrido até a data dapublicação desta Lei Complementar;</w:t>
      </w:r>
    </w:p>
    <w:p w:rsidR="007E562F" w:rsidRDefault="009941CF">
      <w:pPr>
        <w:numPr>
          <w:ilvl w:val="0"/>
          <w:numId w:val="2"/>
        </w:numPr>
        <w:ind w:right="9"/>
      </w:pPr>
      <w:r>
        <w:t>- O imóve</w:t>
      </w:r>
      <w:r>
        <w:t>l deve estar localizado em área com sistemaviário definido;</w:t>
      </w:r>
    </w:p>
    <w:p w:rsidR="007E562F" w:rsidRDefault="009941CF">
      <w:pPr>
        <w:numPr>
          <w:ilvl w:val="0"/>
          <w:numId w:val="2"/>
        </w:numPr>
        <w:ind w:right="9"/>
      </w:pPr>
      <w:r>
        <w:t>– A edificação deve apresentar padrão rigoroso desegurança;</w:t>
      </w:r>
    </w:p>
    <w:p w:rsidR="007E562F" w:rsidRDefault="009941CF">
      <w:pPr>
        <w:numPr>
          <w:ilvl w:val="0"/>
          <w:numId w:val="2"/>
        </w:numPr>
        <w:ind w:right="9"/>
      </w:pPr>
      <w:r>
        <w:t>- A construção não pode invadir vias ou logradourospúblicos, faixas sanitárias, sobra de terra entre loteamentos, áreas destinadas a can</w:t>
      </w:r>
      <w:r>
        <w:t>ais e galerias identificadas na legislação específica, em áreas destinadas ao alargamento de ruas e avenidas no Município, não poderá estar inserida em áreas de preservação permanente, de risco geotécnico, de risco de alagamentos, de proteção ambiental, de</w:t>
      </w:r>
      <w:r>
        <w:t xml:space="preserve"> proteção de mananciais ou em faixa não edificável;</w:t>
      </w:r>
    </w:p>
    <w:p w:rsidR="007E562F" w:rsidRDefault="009941CF">
      <w:pPr>
        <w:numPr>
          <w:ilvl w:val="0"/>
          <w:numId w:val="2"/>
        </w:numPr>
        <w:ind w:right="9"/>
      </w:pPr>
      <w:r>
        <w:t>– A construção não poderá causar prejuízo comprovadoao patrimônio histórico, cultural ou ambiental;</w:t>
      </w:r>
    </w:p>
    <w:p w:rsidR="007E562F" w:rsidRDefault="009941CF">
      <w:pPr>
        <w:numPr>
          <w:ilvl w:val="0"/>
          <w:numId w:val="2"/>
        </w:numPr>
        <w:ind w:right="9"/>
      </w:pPr>
      <w:r>
        <w:t xml:space="preserve">– A edificação deve atender às normas e critériosbásicos de acessibilidade para pessoas com deficiência </w:t>
      </w:r>
      <w:r>
        <w:t>ou mobilidade reduzida, conforme legislações e normas técnicas aplicáveis;</w:t>
      </w:r>
    </w:p>
    <w:p w:rsidR="007E562F" w:rsidRDefault="009941CF">
      <w:pPr>
        <w:numPr>
          <w:ilvl w:val="0"/>
          <w:numId w:val="2"/>
        </w:numPr>
        <w:ind w:right="9"/>
      </w:pPr>
      <w:r>
        <w:t>– A construção deve possuir condições adequadas dehigiene e habitabilidade, sendo vedadas aberturas nas divisas com outros lotes, em qualquer circunstância; VIII – Manifestação favo</w:t>
      </w:r>
      <w:r>
        <w:t>rável da Secretaria Municipal do Meio Ambiente – SEMA, sempre que houver dúvidas quanto à preservação e proteção do meio ambiente; IX – As edificações deverão apresentar as seguintes cotas mínimas de piso no pavimento térreo, em relação à guia:</w:t>
      </w:r>
    </w:p>
    <w:p w:rsidR="007E562F" w:rsidRDefault="009941CF">
      <w:pPr>
        <w:numPr>
          <w:ilvl w:val="0"/>
          <w:numId w:val="3"/>
        </w:numPr>
        <w:ind w:right="9" w:hanging="256"/>
      </w:pPr>
      <w:r>
        <w:t>Edifícios c</w:t>
      </w:r>
      <w:r>
        <w:t>omerciais e industriais: mínimo de 0,15 m</w:t>
      </w:r>
    </w:p>
    <w:p w:rsidR="007E562F" w:rsidRDefault="009941CF">
      <w:pPr>
        <w:ind w:left="-5" w:right="9"/>
      </w:pPr>
      <w:r>
        <w:t>(quinze centímetros);</w:t>
      </w:r>
    </w:p>
    <w:p w:rsidR="007E562F" w:rsidRDefault="009941CF">
      <w:pPr>
        <w:numPr>
          <w:ilvl w:val="0"/>
          <w:numId w:val="3"/>
        </w:numPr>
        <w:ind w:right="9" w:hanging="256"/>
      </w:pPr>
      <w:r>
        <w:t>Edifícios residenciais: mínimo de 0,30 m (trintacentímetros).</w:t>
      </w:r>
    </w:p>
    <w:p w:rsidR="007E562F" w:rsidRDefault="009941CF">
      <w:pPr>
        <w:numPr>
          <w:ilvl w:val="0"/>
          <w:numId w:val="3"/>
        </w:numPr>
        <w:ind w:right="9" w:hanging="256"/>
      </w:pPr>
      <w:r>
        <w:t>As dependências e garagens poderão ter cota mínima de0,15 m (quinze centímetros), conforme as especificidades do projeto e as dime</w:t>
      </w:r>
      <w:r>
        <w:t>nsões do lote.</w:t>
      </w:r>
    </w:p>
    <w:p w:rsidR="007E562F" w:rsidRDefault="009941CF">
      <w:pPr>
        <w:ind w:left="-5" w:right="105"/>
      </w:pPr>
      <w:r>
        <w:t>X - Na edificação de uso residencial, é obrigatória a existência de, no mínimo, uma vaga de estacionamento por unidade a ser regularizada, com dimensões mínimas de 2,0m x 4,2m, devidamente indicada em planta.</w:t>
      </w:r>
    </w:p>
    <w:p w:rsidR="007E562F" w:rsidRDefault="009941CF">
      <w:pPr>
        <w:ind w:left="-5" w:right="105"/>
      </w:pPr>
      <w:r>
        <w:t>a) A insuficiência ou a inexistê</w:t>
      </w:r>
      <w:r>
        <w:t>ncia de vagas disponíveis para o cumprimento do disposto neste inciso implicará a aplicação das penalidades previstas no inciso III do art. 18 desta Lei Complementar.</w:t>
      </w:r>
    </w:p>
    <w:p w:rsidR="007E562F" w:rsidRDefault="009941CF">
      <w:pPr>
        <w:ind w:left="-5" w:right="105"/>
      </w:pPr>
      <w:r>
        <w:t>XI - Para edificações destinadas ao uso comercial ou misto, a quantidade de vagas de esta</w:t>
      </w:r>
      <w:r>
        <w:t>cionamento de veículos deverá observar as disposições contidas na legislação municipal que trata do uso, da ocupação e do parcelamento do solo urbano.</w:t>
      </w:r>
    </w:p>
    <w:p w:rsidR="007E562F" w:rsidRDefault="009941CF">
      <w:pPr>
        <w:numPr>
          <w:ilvl w:val="0"/>
          <w:numId w:val="4"/>
        </w:numPr>
        <w:ind w:right="105"/>
      </w:pPr>
      <w:r>
        <w:t>as vagas de estacionamento a que se refere o “caput”deste artigo deverão possuir dimensões mínimas de 2,00 m (dois metros) por 4,20 m (quatro metros e vinte centímetros) e estar devidamente identificadas na planta do projeto.</w:t>
      </w:r>
    </w:p>
    <w:p w:rsidR="007E562F" w:rsidRDefault="009941CF">
      <w:pPr>
        <w:numPr>
          <w:ilvl w:val="0"/>
          <w:numId w:val="4"/>
        </w:numPr>
        <w:ind w:right="105"/>
      </w:pPr>
      <w:r>
        <w:t xml:space="preserve">será admitida a realização de </w:t>
      </w:r>
      <w:r>
        <w:t>até 3 (três) manobrasveiculares para viabilizar a movimentação de um quarto veículo.</w:t>
      </w:r>
    </w:p>
    <w:p w:rsidR="007E562F" w:rsidRDefault="009941CF">
      <w:pPr>
        <w:numPr>
          <w:ilvl w:val="0"/>
          <w:numId w:val="4"/>
        </w:numPr>
        <w:ind w:right="105"/>
      </w:pPr>
      <w:r>
        <w:t>A insuficiência ou a inexistência de vagas disponíveispara o cumprimento do disposto neste inciso acarretará a aplicação das penalidades previstas no inciso III do art. 17</w:t>
      </w:r>
      <w:r>
        <w:t xml:space="preserve"> desta Lei Complementar.</w:t>
      </w:r>
    </w:p>
    <w:p w:rsidR="007E562F" w:rsidRDefault="009941CF">
      <w:pPr>
        <w:ind w:left="-5" w:right="105"/>
      </w:pPr>
      <w:r>
        <w:t>Art. 2º A modificação de uso de uma edificação somente será aceita quando solicitada a regularização integral da mesma, sendo vedado o uso misto do imóvel com a mesma área comum.</w:t>
      </w:r>
    </w:p>
    <w:tbl>
      <w:tblPr>
        <w:tblStyle w:val="TableGrid"/>
        <w:tblpPr w:vertAnchor="text" w:horzAnchor="margin" w:tblpY="1188"/>
        <w:tblOverlap w:val="never"/>
        <w:tblW w:w="10658" w:type="dxa"/>
        <w:tblInd w:w="0" w:type="dxa"/>
        <w:tblCellMar>
          <w:top w:w="16" w:type="dxa"/>
          <w:left w:w="165" w:type="dxa"/>
          <w:bottom w:w="0" w:type="dxa"/>
          <w:right w:w="0" w:type="dxa"/>
        </w:tblCellMar>
        <w:tblLook w:val="04A0" w:firstRow="1" w:lastRow="0" w:firstColumn="1" w:lastColumn="0" w:noHBand="0" w:noVBand="1"/>
      </w:tblPr>
      <w:tblGrid>
        <w:gridCol w:w="10658"/>
      </w:tblGrid>
      <w:tr w:rsidR="007E562F">
        <w:trPr>
          <w:trHeight w:val="169"/>
        </w:trPr>
        <w:tc>
          <w:tcPr>
            <w:tcW w:w="10501" w:type="dxa"/>
            <w:tcBorders>
              <w:top w:val="nil"/>
              <w:left w:val="nil"/>
              <w:bottom w:val="nil"/>
              <w:right w:val="nil"/>
            </w:tcBorders>
          </w:tcPr>
          <w:p w:rsidR="007E562F" w:rsidRDefault="009941CF">
            <w:pPr>
              <w:tabs>
                <w:tab w:val="right" w:pos="10493"/>
              </w:tabs>
              <w:spacing w:after="0" w:line="259" w:lineRule="auto"/>
              <w:ind w:left="0" w:right="-7" w:firstLine="0"/>
              <w:jc w:val="left"/>
            </w:pPr>
            <w:r>
              <w:rPr>
                <w:rFonts w:ascii="Arial" w:eastAsia="Arial" w:hAnsi="Arial" w:cs="Arial"/>
                <w:b/>
                <w:color w:val="FFFFFF"/>
                <w:sz w:val="16"/>
              </w:rPr>
              <w:t>Ano I | Edição nº 199 | 03/10/2025</w:t>
            </w:r>
            <w:r>
              <w:rPr>
                <w:rFonts w:ascii="Arial" w:eastAsia="Arial" w:hAnsi="Arial" w:cs="Arial"/>
                <w:b/>
                <w:color w:val="FFFFFF"/>
                <w:sz w:val="16"/>
              </w:rPr>
              <w:tab/>
              <w:t>WWW.PRAIAGRANDE.S</w:t>
            </w:r>
            <w:r>
              <w:rPr>
                <w:rFonts w:ascii="Arial" w:eastAsia="Arial" w:hAnsi="Arial" w:cs="Arial"/>
                <w:b/>
                <w:color w:val="FFFFFF"/>
                <w:sz w:val="16"/>
              </w:rPr>
              <w:t>P.GOV.BR</w:t>
            </w:r>
          </w:p>
        </w:tc>
      </w:tr>
    </w:tbl>
    <w:p w:rsidR="007E562F" w:rsidRDefault="009941CF">
      <w:pPr>
        <w:ind w:left="-5" w:right="105"/>
      </w:pPr>
      <w:r>
        <w:t xml:space="preserve">Art. 3º Será permitida a regularização de edificação implantada dentro do limite do próprio lote, inclusive em área reservada à curvatura de esquina, classificada como </w:t>
      </w:r>
      <w:r>
        <w:lastRenderedPageBreak/>
        <w:t>“non aedificandi”, desde que não comprometa a segurança do sistema viário loca</w:t>
      </w:r>
      <w:r>
        <w:t>l, garanta as dimensões mínimas exigidas para acessibilidade nos passeios públicos e que o traçado do sistema viário esteja previamente definido e desde que obtenha parecer favorável da Comissão de Análise de Impacto de Vizinhança – CAIV.</w:t>
      </w:r>
    </w:p>
    <w:p w:rsidR="007E562F" w:rsidRDefault="009941CF">
      <w:pPr>
        <w:ind w:left="-5" w:right="9"/>
      </w:pPr>
      <w:r>
        <w:t>Art. 4º A edifica</w:t>
      </w:r>
      <w:r>
        <w:t>ção predial cujo uso se enquadre como permissível em conformidade com a lei que disciplina o ordenamento do uso, da ocupação e do parcelamento do solo, poderá ser autorizada em vias locais, desde que obtenha parecer favorável da Comissão de Análise de Impa</w:t>
      </w:r>
      <w:r>
        <w:t>cto de Vizinhança – CAIV.</w:t>
      </w:r>
    </w:p>
    <w:p w:rsidR="007E562F" w:rsidRDefault="009941CF">
      <w:pPr>
        <w:ind w:left="-5" w:right="9"/>
      </w:pPr>
      <w:r>
        <w:t>Art. 5º O responsável técnico pela edificação deverá estar regularmente inscrito no Município de Praia Grande, nos termos da legislação que institui o Código de Obras e Edificações, sob pena de aplicação das sanções previstas naqu</w:t>
      </w:r>
      <w:r>
        <w:t>ele diploma legal.</w:t>
      </w:r>
    </w:p>
    <w:p w:rsidR="007E562F" w:rsidRDefault="009941CF">
      <w:pPr>
        <w:ind w:left="-5" w:right="9"/>
      </w:pPr>
      <w:r>
        <w:t>CAPÍTULO II</w:t>
      </w:r>
    </w:p>
    <w:p w:rsidR="007E562F" w:rsidRDefault="009941CF">
      <w:pPr>
        <w:ind w:left="-5" w:right="9"/>
      </w:pPr>
      <w:r>
        <w:t>DAS DEFINIÇÕES</w:t>
      </w:r>
    </w:p>
    <w:p w:rsidR="007E562F" w:rsidRDefault="009941CF">
      <w:pPr>
        <w:ind w:left="-5" w:right="9"/>
      </w:pPr>
      <w:r>
        <w:t>Art. 6º Para os efeitos desta Lei Complementar, adotam-se as seguintes definições:</w:t>
      </w:r>
    </w:p>
    <w:p w:rsidR="007E562F" w:rsidRDefault="009941CF">
      <w:pPr>
        <w:numPr>
          <w:ilvl w:val="0"/>
          <w:numId w:val="5"/>
        </w:numPr>
        <w:ind w:right="9"/>
      </w:pPr>
      <w:r>
        <w:t>– Edificação Clandestina: Construção realizada sem aobtenção do Alvará de Execução.</w:t>
      </w:r>
    </w:p>
    <w:p w:rsidR="007E562F" w:rsidRDefault="009941CF">
      <w:pPr>
        <w:numPr>
          <w:ilvl w:val="0"/>
          <w:numId w:val="5"/>
        </w:numPr>
        <w:ind w:right="9"/>
      </w:pPr>
      <w:r>
        <w:t>– Edificação Concluída: Construção clandest</w:t>
      </w:r>
      <w:r>
        <w:t>inafinalizada, que apresenta condições mínimas de higiene, habitabilidade ou ocupação.</w:t>
      </w:r>
    </w:p>
    <w:p w:rsidR="007E562F" w:rsidRDefault="009941CF">
      <w:pPr>
        <w:numPr>
          <w:ilvl w:val="0"/>
          <w:numId w:val="5"/>
        </w:numPr>
        <w:ind w:right="9"/>
      </w:pPr>
      <w:r>
        <w:t>– Edificação Concluída com Acréscimo: Construçãooriginal licenciada que recebeu acréscimo executado de forma irregular. Neste caso, será objeto de regularização apenas o acréscimo, desde que a construção original já tenha obtido ou seja requerida no ato do</w:t>
      </w:r>
      <w:r>
        <w:t xml:space="preserve"> pedido de regularização do acréscimo a Carta de Habitação, Carta de Ocupação ou Alvará de Regularização de Obra Concluída. IV - Edificação Não Concluída: Construção clandestina coberta, em fase de acabamento, que ainda não reúne condições adequadas de hig</w:t>
      </w:r>
      <w:r>
        <w:t>iene, habitabilidade ou ocupação ou com estrutura consolidada e inacabada sem condições de adaptar-se à legislação vigente.</w:t>
      </w:r>
    </w:p>
    <w:p w:rsidR="007E562F" w:rsidRDefault="009941CF">
      <w:pPr>
        <w:numPr>
          <w:ilvl w:val="0"/>
          <w:numId w:val="6"/>
        </w:numPr>
        <w:ind w:right="105"/>
      </w:pPr>
      <w:r>
        <w:t>– Sistema Viário Definido: Conjunto de vias resultantede loteamento aprovado pela municipalidade ou de assentamento consolidado ao l</w:t>
      </w:r>
      <w:r>
        <w:t>ongo do tempo, devidamente reconhecido pela topografia municipal.</w:t>
      </w:r>
    </w:p>
    <w:p w:rsidR="007E562F" w:rsidRDefault="009941CF">
      <w:pPr>
        <w:numPr>
          <w:ilvl w:val="0"/>
          <w:numId w:val="6"/>
        </w:numPr>
        <w:ind w:right="105"/>
      </w:pPr>
      <w:r>
        <w:t>–Logradouro público: é todo espaço livre de usocomum do povo, sob domínio do poder público, destinado à circulação, lazer ou convívio social, como ruas, avenidas, praças, calçadões, entre ou</w:t>
      </w:r>
      <w:r>
        <w:t>tros.</w:t>
      </w:r>
    </w:p>
    <w:p w:rsidR="007E562F" w:rsidRDefault="009941CF">
      <w:pPr>
        <w:numPr>
          <w:ilvl w:val="0"/>
          <w:numId w:val="6"/>
        </w:numPr>
        <w:ind w:right="105"/>
      </w:pPr>
      <w:r>
        <w:t>– Passeio: é a faixa do logradouro público contígua aoslotes, destinada exclusivamente à circulação de pedestres. VIII - Área “non aedificandi” em curva de esquina: é a porção do lote urbano situada no encontro de duas vias públicas, em forma triangu</w:t>
      </w:r>
      <w:r>
        <w:t>lar, onde é proibido edificar, com a finalidade de preservar a visibilidade nas interseções e garantir a segurança viária.</w:t>
      </w:r>
    </w:p>
    <w:p w:rsidR="007E562F" w:rsidRDefault="009941CF">
      <w:pPr>
        <w:ind w:left="-5" w:right="105"/>
      </w:pPr>
      <w:r>
        <w:t>IX – Alvará de Regularização: Documento expedido pela municipalidade que atesta a regularidade da edificação, podendo ser:</w:t>
      </w:r>
    </w:p>
    <w:p w:rsidR="007E562F" w:rsidRDefault="009941CF">
      <w:pPr>
        <w:numPr>
          <w:ilvl w:val="0"/>
          <w:numId w:val="7"/>
        </w:numPr>
        <w:ind w:right="57"/>
      </w:pPr>
      <w:r>
        <w:t>De Obra em</w:t>
      </w:r>
      <w:r>
        <w:t xml:space="preserve"> Andamento: Referente a edificações,acréscimos ou reformas não concluídas, ou a edificações com estrutura definida;</w:t>
      </w:r>
    </w:p>
    <w:p w:rsidR="007E562F" w:rsidRDefault="009941CF">
      <w:pPr>
        <w:numPr>
          <w:ilvl w:val="0"/>
          <w:numId w:val="7"/>
        </w:numPr>
        <w:ind w:right="57"/>
      </w:pPr>
      <w:r>
        <w:t>De Obra Concluída: Referente a edificações, reformasou acréscimos finalizados, equivalendo à Carta de</w:t>
      </w:r>
    </w:p>
    <w:p w:rsidR="007E562F" w:rsidRDefault="009941CF">
      <w:pPr>
        <w:ind w:left="-5" w:right="9"/>
      </w:pPr>
      <w:r>
        <w:t>Habitação ou Carta de Ocupação;</w:t>
      </w:r>
    </w:p>
    <w:p w:rsidR="007E562F" w:rsidRDefault="009941CF">
      <w:pPr>
        <w:ind w:left="-5" w:right="105"/>
      </w:pPr>
      <w:r>
        <w:t>X – Al</w:t>
      </w:r>
      <w:r>
        <w:t xml:space="preserve">vará de Regularização de Lote: Documento expedido pela municipalidade para regularização de unificação, desdobros ou remanejamentos de lotes realizados em desacordo com a legislação vigente; XI – Carta de Ocupação por Regularização: Documento emitido pela </w:t>
      </w:r>
      <w:r>
        <w:t>municipalidade após a conclusão dos serviços autorizados pelo Alvará de Obra em Andamento por Regularização, referentes à regularização de reforma ou acréscimo;</w:t>
      </w:r>
    </w:p>
    <w:p w:rsidR="007E562F" w:rsidRDefault="009941CF">
      <w:pPr>
        <w:numPr>
          <w:ilvl w:val="0"/>
          <w:numId w:val="8"/>
        </w:numPr>
        <w:ind w:right="9"/>
      </w:pPr>
      <w:r>
        <w:t>– Carta de Habitação por Regularização: Documentoemitido pela municipalidade após a conclusão d</w:t>
      </w:r>
      <w:r>
        <w:t>os serviços autorizados pelo Alvará de Obra em Andamento por Regularização, referentes à regularização total da</w:t>
      </w:r>
    </w:p>
    <w:tbl>
      <w:tblPr>
        <w:tblStyle w:val="TableGrid"/>
        <w:tblpPr w:vertAnchor="text" w:horzAnchor="margin"/>
        <w:tblOverlap w:val="never"/>
        <w:tblW w:w="10658" w:type="dxa"/>
        <w:tblInd w:w="0" w:type="dxa"/>
        <w:tblCellMar>
          <w:top w:w="16" w:type="dxa"/>
          <w:left w:w="165" w:type="dxa"/>
          <w:bottom w:w="0" w:type="dxa"/>
          <w:right w:w="0" w:type="dxa"/>
        </w:tblCellMar>
        <w:tblLook w:val="04A0" w:firstRow="1" w:lastRow="0" w:firstColumn="1" w:lastColumn="0" w:noHBand="0" w:noVBand="1"/>
      </w:tblPr>
      <w:tblGrid>
        <w:gridCol w:w="10658"/>
      </w:tblGrid>
      <w:tr w:rsidR="007E562F">
        <w:trPr>
          <w:trHeight w:val="169"/>
        </w:trPr>
        <w:tc>
          <w:tcPr>
            <w:tcW w:w="10501" w:type="dxa"/>
            <w:tcBorders>
              <w:top w:val="nil"/>
              <w:left w:val="nil"/>
              <w:bottom w:val="nil"/>
              <w:right w:val="nil"/>
            </w:tcBorders>
          </w:tcPr>
          <w:p w:rsidR="007E562F" w:rsidRDefault="009941CF">
            <w:pPr>
              <w:tabs>
                <w:tab w:val="right" w:pos="10493"/>
              </w:tabs>
              <w:spacing w:after="0" w:line="259" w:lineRule="auto"/>
              <w:ind w:left="0" w:right="-7" w:firstLine="0"/>
              <w:jc w:val="left"/>
            </w:pPr>
            <w:r>
              <w:rPr>
                <w:rFonts w:ascii="Arial" w:eastAsia="Arial" w:hAnsi="Arial" w:cs="Arial"/>
                <w:b/>
                <w:color w:val="FFFFFF"/>
                <w:sz w:val="16"/>
              </w:rPr>
              <w:t>Ano I | Edição nº 199 | 03/10/2025</w:t>
            </w:r>
            <w:r>
              <w:rPr>
                <w:rFonts w:ascii="Arial" w:eastAsia="Arial" w:hAnsi="Arial" w:cs="Arial"/>
                <w:b/>
                <w:color w:val="FFFFFF"/>
                <w:sz w:val="16"/>
              </w:rPr>
              <w:tab/>
              <w:t>WWW.PRAIAGRANDE.SP.GOV.BR</w:t>
            </w:r>
          </w:p>
        </w:tc>
      </w:tr>
    </w:tbl>
    <w:p w:rsidR="007E562F" w:rsidRDefault="009941CF">
      <w:pPr>
        <w:ind w:left="-5" w:right="9"/>
      </w:pPr>
      <w:r>
        <w:t>edificação;</w:t>
      </w:r>
    </w:p>
    <w:p w:rsidR="007E562F" w:rsidRDefault="009941CF">
      <w:pPr>
        <w:numPr>
          <w:ilvl w:val="0"/>
          <w:numId w:val="8"/>
        </w:numPr>
        <w:ind w:right="9"/>
      </w:pPr>
      <w:r>
        <w:t>– Área Excedente: Área construída que ultrapassa oslimites dos recuos obrigatórios, excede o coeficiente de aproveitamento (CA);</w:t>
      </w:r>
    </w:p>
    <w:p w:rsidR="007E562F" w:rsidRDefault="009941CF">
      <w:pPr>
        <w:numPr>
          <w:ilvl w:val="0"/>
          <w:numId w:val="8"/>
        </w:numPr>
        <w:ind w:right="9"/>
      </w:pPr>
      <w:r>
        <w:t xml:space="preserve">- Unidade Excedente: É a unidade que excede a AIT(área ideal de terreno) definida para a respectiva zona, conforme disposto na </w:t>
      </w:r>
      <w:r>
        <w:t>legislação vigente que regula o Ordenamento do Uso, Ocupação e Parcelamento do Solo na data de protocolo do pedido.</w:t>
      </w:r>
    </w:p>
    <w:p w:rsidR="007E562F" w:rsidRDefault="009941CF">
      <w:pPr>
        <w:ind w:left="-5" w:right="9"/>
      </w:pPr>
      <w:r>
        <w:t>CAPÍTULO III</w:t>
      </w:r>
    </w:p>
    <w:p w:rsidR="007E562F" w:rsidRDefault="009941CF">
      <w:pPr>
        <w:ind w:left="-5" w:right="9"/>
      </w:pPr>
      <w:r>
        <w:t>DA DOCUMENTAÇÃO</w:t>
      </w:r>
    </w:p>
    <w:p w:rsidR="007E562F" w:rsidRDefault="009941CF">
      <w:pPr>
        <w:ind w:left="-5" w:right="9"/>
      </w:pPr>
      <w:r>
        <w:t>Art. 7º O processo de regularização deverá ser iniciado por meio de requerimento digital, disponibilizado no si</w:t>
      </w:r>
      <w:r>
        <w:t>te da Prefeitura de Praia Grande, instruído com a documentação abaixo relacionada:</w:t>
      </w:r>
    </w:p>
    <w:p w:rsidR="007E562F" w:rsidRDefault="009941CF">
      <w:pPr>
        <w:ind w:left="-5" w:right="9"/>
      </w:pPr>
      <w:r>
        <w:t>I – Para a regularização de edificações, reformas ou acréscimos já concluídos:</w:t>
      </w:r>
    </w:p>
    <w:p w:rsidR="007E562F" w:rsidRDefault="009941CF">
      <w:pPr>
        <w:numPr>
          <w:ilvl w:val="0"/>
          <w:numId w:val="9"/>
        </w:numPr>
        <w:ind w:right="9"/>
      </w:pPr>
      <w:r>
        <w:t>Matrícula atualizada do imóvel em nome do requerente,expedida pelo Cartório de Registro de Imó</w:t>
      </w:r>
      <w:r>
        <w:t>veis competente. Na hipótese de o registro pertencer a outra comarca, deverá ser apresentada, adicionalmente, Certidão Negativa de Propriedade emitida pelas circunscrições imobiliárias de São Vicente e/ou Praia Grande, conforme o caso. Tanto a matrícula qu</w:t>
      </w:r>
      <w:r>
        <w:t>anto as certidões deverão ter data de emissão não superior a 90 (noventa) dias.</w:t>
      </w:r>
    </w:p>
    <w:p w:rsidR="007E562F" w:rsidRDefault="009941CF">
      <w:pPr>
        <w:ind w:left="-5" w:right="9"/>
      </w:pPr>
      <w:r>
        <w:t>a.1) Na hipótese de posse, deverá apresentar:</w:t>
      </w:r>
    </w:p>
    <w:p w:rsidR="007E562F" w:rsidRDefault="009941CF">
      <w:pPr>
        <w:ind w:left="-5" w:right="9"/>
      </w:pPr>
      <w:r>
        <w:t>Certidão emitida pelo Registro de Imóveis com as características do imóvel, com data de emissão não superior a 90 (noventa) dias;</w:t>
      </w:r>
    </w:p>
    <w:p w:rsidR="007E562F" w:rsidRDefault="009941CF">
      <w:pPr>
        <w:ind w:left="-5" w:right="9"/>
      </w:pPr>
      <w:r>
        <w:t xml:space="preserve">Instrumento de compromisso de compra e venda ou cessão de direitos, devidamente registrado no Cartório de Registro de Imóveis de Praia Grande; na ausência de registro, deverá ser comprovado o encadeamento sucessório das transmissões anteriores a partir do </w:t>
      </w:r>
      <w:r>
        <w:t>titular do domínio; Contrato ou documento comprobatório da relação obrigacional existente entre o proprietário e o possuidor direto;</w:t>
      </w:r>
    </w:p>
    <w:p w:rsidR="007E562F" w:rsidRDefault="009941CF">
      <w:pPr>
        <w:ind w:left="-5" w:right="105"/>
      </w:pPr>
      <w:r>
        <w:t>ou outros documentos em nome do requerente que comprovem, de forma inequívoca, a posse do imóvel por período superior a 5 (</w:t>
      </w:r>
      <w:r>
        <w:t>cinco) anos;</w:t>
      </w:r>
    </w:p>
    <w:p w:rsidR="007E562F" w:rsidRDefault="009941CF">
      <w:pPr>
        <w:ind w:left="-5" w:right="105"/>
      </w:pPr>
      <w:r>
        <w:t>Certidão do Distribuidor Cível da Comarca de Praia Grande/SP, atestando a inexistência de ações possessórias ou reivindicatórias em curso ou concluídas contra o requerente. Em caso de existência, deverá ser apresentada a Certidão de Objeto e P</w:t>
      </w:r>
      <w:r>
        <w:t>é dos autos, para análise da viabilidade da continuidade da regularização, com data de emissão não superior a 90 (noventa) dias; b) espelho de lançamento do IPTU;</w:t>
      </w:r>
    </w:p>
    <w:p w:rsidR="007E562F" w:rsidRDefault="009941CF">
      <w:pPr>
        <w:numPr>
          <w:ilvl w:val="0"/>
          <w:numId w:val="10"/>
        </w:numPr>
        <w:ind w:right="9" w:hanging="226"/>
      </w:pPr>
      <w:r>
        <w:t>Documento de identificação pessoal com foto;</w:t>
      </w:r>
    </w:p>
    <w:p w:rsidR="007E562F" w:rsidRDefault="009941CF">
      <w:pPr>
        <w:numPr>
          <w:ilvl w:val="0"/>
          <w:numId w:val="10"/>
        </w:numPr>
        <w:ind w:right="9" w:hanging="226"/>
      </w:pPr>
      <w:r>
        <w:t>Projeto arquitetônico completo da edificação exi</w:t>
      </w:r>
      <w:r>
        <w:t>stente,da modificação ou do acréscimo executado, contendo indicação das áreas dos compartimentos, uso previsto e legenda explicativa;</w:t>
      </w:r>
    </w:p>
    <w:p w:rsidR="007E562F" w:rsidRDefault="009941CF">
      <w:pPr>
        <w:numPr>
          <w:ilvl w:val="0"/>
          <w:numId w:val="10"/>
        </w:numPr>
        <w:ind w:right="9" w:hanging="226"/>
      </w:pPr>
      <w:r>
        <w:t>Laudo Técnico de Vistoria, com caráter descritivo econclusivo quanto às condições da edificação, atestando que as fundaçõe</w:t>
      </w:r>
      <w:r>
        <w:t>s, as estruturas, bem como as instalações hidráulicas, elétricas e de telefonia foram devidamente executadas, e que a edificação se encontra concluída em conformidade com o projeto apresentado. O referido laudo deverá, ainda, comprovar a observância ao dis</w:t>
      </w:r>
      <w:r>
        <w:t>posto no art. 1º desta Lei Complementar.</w:t>
      </w:r>
    </w:p>
    <w:p w:rsidR="007E562F" w:rsidRDefault="009941CF">
      <w:pPr>
        <w:ind w:left="-5" w:right="105"/>
      </w:pPr>
      <w:r>
        <w:t xml:space="preserve">e1) O laudo deverá ser subscrito pelo responsável técnico e pelo proprietário ou possuidor do imóvel, acompanhado da respectiva Anotação de Responsabilidade Técnica (ART), Registro de Responsabilidade Técnica (RRT) </w:t>
      </w:r>
      <w:r>
        <w:t>ou outro documento equivalente devidamente recolhido, responsabilizando-se ambos pela segurança e salubridade da edificação.</w:t>
      </w:r>
    </w:p>
    <w:p w:rsidR="007E562F" w:rsidRDefault="009941CF">
      <w:pPr>
        <w:ind w:left="-5" w:right="105"/>
      </w:pPr>
      <w:r>
        <w:t xml:space="preserve">e2) Deverá constar do laudo a indicação do padrão construtivo da edificação, nos termos do art. 2º da Resolução SEFIN-003/2024, ou </w:t>
      </w:r>
      <w:r>
        <w:t>de norma que a venha substituir durante a vigência desta Lei Complementar, para fins de lançamento tributário.</w:t>
      </w:r>
    </w:p>
    <w:p w:rsidR="007E562F" w:rsidRDefault="009941CF">
      <w:pPr>
        <w:numPr>
          <w:ilvl w:val="0"/>
          <w:numId w:val="10"/>
        </w:numPr>
        <w:ind w:right="9" w:hanging="226"/>
      </w:pPr>
      <w:r>
        <w:t>Ata de assembleia de condomínio, quando for o caso;</w:t>
      </w:r>
    </w:p>
    <w:tbl>
      <w:tblPr>
        <w:tblStyle w:val="TableGrid"/>
        <w:tblpPr w:vertAnchor="text" w:horzAnchor="margin"/>
        <w:tblOverlap w:val="never"/>
        <w:tblW w:w="10658" w:type="dxa"/>
        <w:tblInd w:w="0" w:type="dxa"/>
        <w:tblCellMar>
          <w:top w:w="16" w:type="dxa"/>
          <w:left w:w="165" w:type="dxa"/>
          <w:bottom w:w="0" w:type="dxa"/>
          <w:right w:w="0" w:type="dxa"/>
        </w:tblCellMar>
        <w:tblLook w:val="04A0" w:firstRow="1" w:lastRow="0" w:firstColumn="1" w:lastColumn="0" w:noHBand="0" w:noVBand="1"/>
      </w:tblPr>
      <w:tblGrid>
        <w:gridCol w:w="10658"/>
      </w:tblGrid>
      <w:tr w:rsidR="007E562F">
        <w:trPr>
          <w:trHeight w:val="169"/>
        </w:trPr>
        <w:tc>
          <w:tcPr>
            <w:tcW w:w="10501" w:type="dxa"/>
            <w:tcBorders>
              <w:top w:val="nil"/>
              <w:left w:val="nil"/>
              <w:bottom w:val="nil"/>
              <w:right w:val="nil"/>
            </w:tcBorders>
          </w:tcPr>
          <w:p w:rsidR="007E562F" w:rsidRDefault="009941CF">
            <w:pPr>
              <w:tabs>
                <w:tab w:val="right" w:pos="10493"/>
              </w:tabs>
              <w:spacing w:after="0" w:line="259" w:lineRule="auto"/>
              <w:ind w:left="0" w:right="-7" w:firstLine="0"/>
              <w:jc w:val="left"/>
            </w:pPr>
            <w:r>
              <w:rPr>
                <w:rFonts w:ascii="Arial" w:eastAsia="Arial" w:hAnsi="Arial" w:cs="Arial"/>
                <w:b/>
                <w:color w:val="FFFFFF"/>
                <w:sz w:val="16"/>
              </w:rPr>
              <w:t>Ano I | Edição nº 199 | 03/10/2025</w:t>
            </w:r>
            <w:r>
              <w:rPr>
                <w:rFonts w:ascii="Arial" w:eastAsia="Arial" w:hAnsi="Arial" w:cs="Arial"/>
                <w:b/>
                <w:color w:val="FFFFFF"/>
                <w:sz w:val="16"/>
              </w:rPr>
              <w:tab/>
              <w:t>WWW.PRAIAGRANDE.SP.GOV.BR</w:t>
            </w:r>
          </w:p>
        </w:tc>
      </w:tr>
    </w:tbl>
    <w:p w:rsidR="007E562F" w:rsidRDefault="009941CF">
      <w:pPr>
        <w:numPr>
          <w:ilvl w:val="0"/>
          <w:numId w:val="10"/>
        </w:numPr>
        <w:ind w:right="9" w:hanging="226"/>
      </w:pPr>
      <w:r>
        <w:t>Certificado do Auto de Vistoria do Corpo de Bombeiros(AVCB) ou Certificado de Licença do Corpo de Bombeiros (CLCB), computando a área excedente a ser regularizada, conforme a legislação específi</w:t>
      </w:r>
      <w:r>
        <w:t>ca vigente;</w:t>
      </w:r>
    </w:p>
    <w:p w:rsidR="007E562F" w:rsidRDefault="009941CF">
      <w:pPr>
        <w:numPr>
          <w:ilvl w:val="0"/>
          <w:numId w:val="10"/>
        </w:numPr>
        <w:ind w:right="9" w:hanging="226"/>
      </w:pPr>
      <w:r>
        <w:t>Memorial de cálculo de áreas, especificando a áreaexistente e a área a ser regularizada, para fins de lançamento tributário;</w:t>
      </w:r>
    </w:p>
    <w:p w:rsidR="007E562F" w:rsidRDefault="009941CF">
      <w:pPr>
        <w:numPr>
          <w:ilvl w:val="0"/>
          <w:numId w:val="10"/>
        </w:numPr>
        <w:ind w:right="9" w:hanging="226"/>
      </w:pPr>
      <w:r>
        <w:t>Alvará de funcionamento para elevadores, plataformas,escadas rolantes, monta-cargas ou outros equipamentos mecânicos de</w:t>
      </w:r>
      <w:r>
        <w:t xml:space="preserve"> transporte;</w:t>
      </w:r>
    </w:p>
    <w:p w:rsidR="007E562F" w:rsidRDefault="009941CF">
      <w:pPr>
        <w:numPr>
          <w:ilvl w:val="0"/>
          <w:numId w:val="10"/>
        </w:numPr>
        <w:ind w:right="9" w:hanging="226"/>
      </w:pPr>
      <w:r>
        <w:t>Memorial descritivo de execução do sistema deafastamento de esgoto, em conformidade com as normas vigentes da ABNT NBR, ou documento comprobatório de ligação do imóvel à rede pública de esgoto.</w:t>
      </w:r>
    </w:p>
    <w:p w:rsidR="007E562F" w:rsidRDefault="009941CF">
      <w:pPr>
        <w:numPr>
          <w:ilvl w:val="0"/>
          <w:numId w:val="10"/>
        </w:numPr>
        <w:spacing w:after="55"/>
        <w:ind w:right="9" w:hanging="226"/>
      </w:pPr>
      <w:r>
        <w:t>laudo fotográfico contemplando imagens aéreas, ob</w:t>
      </w:r>
      <w:r>
        <w:t>tidasde aerofotos — especialmente as captadas pelo Google relativas aos anos de 2005, 2017 e as disponíveis até a presente data —, elaborado por profissional habilitado e acompanhado de representação gráfica da quadra, com lotes confrontantes e das vias qu</w:t>
      </w:r>
      <w:r>
        <w:t xml:space="preserve">e a circundam; o laudo deverá observar os requisitos da ABNT NBR?13752:1996 – Perícias de Engenharia na Construção Civil atualizada, especialmente quanto à numeração e datação das fotografias pelos profissionais, à numeração sequencial, e ao uso de croqui </w:t>
      </w:r>
      <w:r>
        <w:t>ou planta da área vistoriada, e estar instruído com respectiva Anotação ou Registro de Responsabilidade Técnica ou documento equivalente. k1) O laudo deverá demonstrar com fidelidade a área objeto da regularização, devendo conter as informações e elementos</w:t>
      </w:r>
      <w:r>
        <w:t xml:space="preserve"> visuais necessários para a perfeita compreensão da localização e delimitação da zoneamento urbanístico. k2) Ressalvadas as exigências específicas desta Lei Complementar, os procedimentos de elaboração e apresentação técnica devem obedecer integralmente ao</w:t>
      </w:r>
      <w:r>
        <w:t>s demais requisitos previstos na NBR?13752:1996 relativos às perícias de engenharia, inclusive quanto à identificação dos profissionais, assinatura, croqui, detalhamentos e demais documentos.</w:t>
      </w:r>
    </w:p>
    <w:p w:rsidR="007E562F" w:rsidRDefault="009941CF">
      <w:pPr>
        <w:ind w:left="-5" w:right="9"/>
      </w:pPr>
      <w:r>
        <w:t>II – Para regularização de edificação não concluída:</w:t>
      </w:r>
    </w:p>
    <w:p w:rsidR="007E562F" w:rsidRDefault="009941CF">
      <w:pPr>
        <w:numPr>
          <w:ilvl w:val="0"/>
          <w:numId w:val="11"/>
        </w:numPr>
        <w:ind w:right="105"/>
      </w:pPr>
      <w:r>
        <w:t>Matrícula a</w:t>
      </w:r>
      <w:r>
        <w:t>tualizada do imóvel em nome do requerente,expedida pelo Cartório de Registro de Imóveis competente. Na hipótese de o registro pertencer a outra comarca, deverá ser apresentada, adicionalmente, Certidão Negativa de Propriedade emitida pelas circunscrições i</w:t>
      </w:r>
      <w:r>
        <w:t>mobiliárias de São Vicente e/ou Praia Grande, conforme o caso. Tanto a matrícula quanto as certidões deverão ter data de emissão não superior a 90 (noventa) dias.</w:t>
      </w:r>
    </w:p>
    <w:p w:rsidR="007E562F" w:rsidRDefault="009941CF">
      <w:pPr>
        <w:ind w:left="-5" w:right="9"/>
      </w:pPr>
      <w:r>
        <w:t>a.1) No caso de posse, deverão ser apresentados:</w:t>
      </w:r>
    </w:p>
    <w:p w:rsidR="007E562F" w:rsidRDefault="009941CF">
      <w:pPr>
        <w:numPr>
          <w:ilvl w:val="0"/>
          <w:numId w:val="12"/>
        </w:numPr>
        <w:ind w:right="105"/>
      </w:pPr>
      <w:r>
        <w:t>Certidão emitida pelo Registro de Imóveis co</w:t>
      </w:r>
      <w:r>
        <w:t>m ascaracterísticas do imóvel, com data de emissão não superior a 90 (noventa) dias;</w:t>
      </w:r>
    </w:p>
    <w:p w:rsidR="007E562F" w:rsidRDefault="009941CF">
      <w:pPr>
        <w:numPr>
          <w:ilvl w:val="0"/>
          <w:numId w:val="12"/>
        </w:numPr>
        <w:ind w:right="105"/>
      </w:pPr>
      <w:r>
        <w:t>Instrumento de compromisso de compra e venda oucessão de direitos, devidamente registrado no Cartório de Registro de Imóveis de Praia Grande; na ausência de registro, deve</w:t>
      </w:r>
      <w:r>
        <w:t>rá ser comprovado o encadeamento sucessório das transmissões anteriores a partir do titular do domínio;</w:t>
      </w:r>
    </w:p>
    <w:p w:rsidR="007E562F" w:rsidRDefault="009941CF">
      <w:pPr>
        <w:numPr>
          <w:ilvl w:val="0"/>
          <w:numId w:val="12"/>
        </w:numPr>
        <w:ind w:right="105"/>
      </w:pPr>
      <w:r>
        <w:t>Contrato ou documento comprobatório da relaçãoobrigacional existente entre o proprietário e o possuidor direto;</w:t>
      </w:r>
    </w:p>
    <w:p w:rsidR="007E562F" w:rsidRDefault="009941CF">
      <w:pPr>
        <w:numPr>
          <w:ilvl w:val="0"/>
          <w:numId w:val="12"/>
        </w:numPr>
        <w:ind w:right="105"/>
      </w:pPr>
      <w:r>
        <w:t>ou outros documentos em nome do requerente quecomprovem, de forma inequívoca, a posse do imóvel por período superior a 5 (cinco) anos;</w:t>
      </w:r>
    </w:p>
    <w:p w:rsidR="007E562F" w:rsidRDefault="009941CF">
      <w:pPr>
        <w:numPr>
          <w:ilvl w:val="0"/>
          <w:numId w:val="12"/>
        </w:numPr>
        <w:ind w:right="105"/>
      </w:pPr>
      <w:r>
        <w:t xml:space="preserve">Certidão </w:t>
      </w:r>
      <w:r>
        <w:t>do Distribuidor Cível da Comarca de PraiaGrande/SP, atestando a inexistência de ações possessórias ou reivindicatórias em curso ou concluídas contra o requerente. Em caso de existência, deverá ser apresentada a Certidão de Objeto e Pé dos autos, para análi</w:t>
      </w:r>
      <w:r>
        <w:t>se da viabilidade da continuidade da regularização, com data de emissão não superior a 90 (noventa) dias; b) Espelho de lançamento do IPTU;</w:t>
      </w:r>
    </w:p>
    <w:p w:rsidR="007E562F" w:rsidRDefault="009941CF">
      <w:pPr>
        <w:numPr>
          <w:ilvl w:val="0"/>
          <w:numId w:val="13"/>
        </w:numPr>
        <w:ind w:right="9" w:hanging="278"/>
      </w:pPr>
      <w:r>
        <w:t>Documento de identidade oficial com foto;</w:t>
      </w:r>
    </w:p>
    <w:tbl>
      <w:tblPr>
        <w:tblStyle w:val="TableGrid"/>
        <w:tblpPr w:vertAnchor="text" w:horzAnchor="margin" w:tblpY="528"/>
        <w:tblOverlap w:val="never"/>
        <w:tblW w:w="10658" w:type="dxa"/>
        <w:tblInd w:w="0" w:type="dxa"/>
        <w:tblCellMar>
          <w:top w:w="16" w:type="dxa"/>
          <w:left w:w="165" w:type="dxa"/>
          <w:bottom w:w="0" w:type="dxa"/>
          <w:right w:w="0" w:type="dxa"/>
        </w:tblCellMar>
        <w:tblLook w:val="04A0" w:firstRow="1" w:lastRow="0" w:firstColumn="1" w:lastColumn="0" w:noHBand="0" w:noVBand="1"/>
      </w:tblPr>
      <w:tblGrid>
        <w:gridCol w:w="10658"/>
      </w:tblGrid>
      <w:tr w:rsidR="007E562F">
        <w:trPr>
          <w:trHeight w:val="169"/>
        </w:trPr>
        <w:tc>
          <w:tcPr>
            <w:tcW w:w="10501" w:type="dxa"/>
            <w:tcBorders>
              <w:top w:val="nil"/>
              <w:left w:val="nil"/>
              <w:bottom w:val="nil"/>
              <w:right w:val="nil"/>
            </w:tcBorders>
          </w:tcPr>
          <w:p w:rsidR="007E562F" w:rsidRDefault="009941CF">
            <w:pPr>
              <w:tabs>
                <w:tab w:val="right" w:pos="10493"/>
              </w:tabs>
              <w:spacing w:after="0" w:line="259" w:lineRule="auto"/>
              <w:ind w:left="0" w:right="-7" w:firstLine="0"/>
              <w:jc w:val="left"/>
            </w:pPr>
            <w:r>
              <w:rPr>
                <w:rFonts w:ascii="Arial" w:eastAsia="Arial" w:hAnsi="Arial" w:cs="Arial"/>
                <w:b/>
                <w:color w:val="FFFFFF"/>
                <w:sz w:val="16"/>
              </w:rPr>
              <w:t>Ano I | Edição nº 199 | 03/10/2025</w:t>
            </w:r>
            <w:r>
              <w:rPr>
                <w:rFonts w:ascii="Arial" w:eastAsia="Arial" w:hAnsi="Arial" w:cs="Arial"/>
                <w:b/>
                <w:color w:val="FFFFFF"/>
                <w:sz w:val="16"/>
              </w:rPr>
              <w:tab/>
              <w:t>WWW.PRAIAGRANDE.SP.GOV.BR</w:t>
            </w:r>
          </w:p>
        </w:tc>
      </w:tr>
    </w:tbl>
    <w:p w:rsidR="007E562F" w:rsidRDefault="009941CF">
      <w:pPr>
        <w:numPr>
          <w:ilvl w:val="0"/>
          <w:numId w:val="13"/>
        </w:numPr>
        <w:ind w:right="9" w:hanging="278"/>
      </w:pPr>
      <w:r>
        <w:t>Projeto arquitetônico completo da edificação total ouparcial, reforma ou acréscimo em execução, contendo a indicação das áreas dos compartimentos, finalidade de uso e legenda explicativa;</w:t>
      </w:r>
    </w:p>
    <w:p w:rsidR="007E562F" w:rsidRDefault="009941CF">
      <w:pPr>
        <w:numPr>
          <w:ilvl w:val="0"/>
          <w:numId w:val="13"/>
        </w:numPr>
        <w:ind w:right="9" w:hanging="278"/>
      </w:pPr>
      <w:r>
        <w:t xml:space="preserve">Memorial descritivo completo, identificando o estágioatual da obra, </w:t>
      </w:r>
      <w:r>
        <w:t>assinado por profissional legalmente habilitado;</w:t>
      </w:r>
    </w:p>
    <w:p w:rsidR="007E562F" w:rsidRDefault="009941CF">
      <w:pPr>
        <w:numPr>
          <w:ilvl w:val="0"/>
          <w:numId w:val="13"/>
        </w:numPr>
        <w:ind w:right="9" w:hanging="278"/>
      </w:pPr>
      <w:r>
        <w:t>Anotação ou Registro de Responsabilidade Técnica(ART, RRT ou equivalente) do responsável técnico pelo levantamento e direção da obra, indicando a área a ser regularizada;</w:t>
      </w:r>
    </w:p>
    <w:p w:rsidR="007E562F" w:rsidRDefault="009941CF">
      <w:pPr>
        <w:numPr>
          <w:ilvl w:val="0"/>
          <w:numId w:val="13"/>
        </w:numPr>
        <w:spacing w:after="0" w:line="315" w:lineRule="auto"/>
        <w:ind w:right="9" w:hanging="278"/>
      </w:pPr>
      <w:r>
        <w:t>Anotação ou Registro de Responsabili</w:t>
      </w:r>
      <w:r>
        <w:t xml:space="preserve">dade Técnica(ART, RRT ou equivalente), que comprove a autoria dos projetos </w:t>
      </w:r>
      <w:r>
        <w:tab/>
        <w:t xml:space="preserve">complementares </w:t>
      </w:r>
      <w:r>
        <w:tab/>
        <w:t xml:space="preserve">de </w:t>
      </w:r>
      <w:r>
        <w:tab/>
        <w:t xml:space="preserve">estrutura, </w:t>
      </w:r>
      <w:r>
        <w:tab/>
        <w:t>instalações hidráulicas, elétricas, de telefonia, ventilação ou demais exigidos pela Municipalidade, ou, alternativamente, laudos técnicos correspon</w:t>
      </w:r>
      <w:r>
        <w:t>dentes, devidamente acompanhados das respectivas ARTs, RRTs ou registros profissionais competentes.</w:t>
      </w:r>
    </w:p>
    <w:p w:rsidR="007E562F" w:rsidRDefault="009941CF">
      <w:pPr>
        <w:numPr>
          <w:ilvl w:val="0"/>
          <w:numId w:val="13"/>
        </w:numPr>
        <w:ind w:right="9" w:hanging="278"/>
      </w:pPr>
      <w:r>
        <w:t>laudo fotográfico contemplando imagens aéreas, obtidasde aerofotos — especialmente as captadas pelo Google relativas aos anos de 2005, 2017 e as disponíveis</w:t>
      </w:r>
      <w:r>
        <w:t xml:space="preserve"> até a presente data —, elaborado por profissional habilitado e acompanhado de representação gráfica da quadra, com lotes confrontantes e das vias que a circundam; o laudo deverá observar os requisitos da ABNT NBR?13752:1996 – Perícias de Engenharia na Con</w:t>
      </w:r>
      <w:r>
        <w:t>strução Civil e suas alterações, notadamente quanto à numeração e datação das fotografias pelos profissionais, à numeração sequencial, e ao uso de croqui ou planta da área vistoriada, e estar instruído com respectiva Anotação ou Registro de Responsabilidad</w:t>
      </w:r>
      <w:r>
        <w:t>e Técnica ou documento equivalente. h1) O laudo deverá demonstrar com fidelidade a área objeto da regularização, devendo conter as informações e elementos visuais necessários para a perfeita compreensão da localização e delimitação do zoneamento urbanístic</w:t>
      </w:r>
      <w:r>
        <w:t xml:space="preserve">o. h2) Ressalvadas as exigências específicas desta Lei Complementar, os procedimentos de elaboração e apresentação técnica devem obedecer integralmente aos demais requisitos previstos na NBR?13752:1996 relativos às perícias de engenharia, inclusive quanto </w:t>
      </w:r>
      <w:r>
        <w:t>à identificação dos profissionais, assinatura, croqui, detalhamentos e demais documentos.</w:t>
      </w:r>
    </w:p>
    <w:p w:rsidR="007E562F" w:rsidRDefault="009941CF">
      <w:pPr>
        <w:numPr>
          <w:ilvl w:val="0"/>
          <w:numId w:val="13"/>
        </w:numPr>
        <w:ind w:right="9" w:hanging="278"/>
      </w:pPr>
      <w:r>
        <w:t xml:space="preserve">Memorial de execução do sistema de afastamento deesgoto, conforme as normas técnicas vigentes da ABNT NBR, ou documento que comprove a existência de rede coletora em </w:t>
      </w:r>
      <w:r>
        <w:t>funcionamento.</w:t>
      </w:r>
    </w:p>
    <w:p w:rsidR="007E562F" w:rsidRDefault="009941CF">
      <w:pPr>
        <w:numPr>
          <w:ilvl w:val="0"/>
          <w:numId w:val="13"/>
        </w:numPr>
        <w:ind w:right="9" w:hanging="278"/>
      </w:pPr>
      <w:r>
        <w:t>Anotação ou Registro de Responsabilidade Técnica(ART, RRT ou equivalente) do responsável técnico pelo projeto de prevenção e combate a incêndio, indicando a área a ser regularizada, quando necessário;</w:t>
      </w:r>
    </w:p>
    <w:p w:rsidR="007E562F" w:rsidRDefault="009941CF">
      <w:pPr>
        <w:numPr>
          <w:ilvl w:val="0"/>
          <w:numId w:val="13"/>
        </w:numPr>
        <w:ind w:right="9" w:hanging="278"/>
      </w:pPr>
      <w:r>
        <w:t>Plano de Gerenciamento de Resíduos da Construção</w:t>
      </w:r>
    </w:p>
    <w:p w:rsidR="007E562F" w:rsidRDefault="009941CF">
      <w:pPr>
        <w:ind w:left="-5" w:right="9"/>
      </w:pPr>
      <w:r>
        <w:t>Civil (PGRCC);</w:t>
      </w:r>
    </w:p>
    <w:p w:rsidR="007E562F" w:rsidRDefault="009941CF">
      <w:pPr>
        <w:numPr>
          <w:ilvl w:val="0"/>
          <w:numId w:val="13"/>
        </w:numPr>
        <w:ind w:right="9" w:hanging="278"/>
      </w:pPr>
      <w:r>
        <w:t>Cálculo das áreas construídas para fins de lançamentotributário;</w:t>
      </w:r>
    </w:p>
    <w:p w:rsidR="007E562F" w:rsidRDefault="009941CF">
      <w:pPr>
        <w:numPr>
          <w:ilvl w:val="0"/>
          <w:numId w:val="13"/>
        </w:numPr>
        <w:ind w:right="9" w:hanging="278"/>
      </w:pPr>
      <w:r>
        <w:t>Declaração de área excedente assinada por profissionalhabilitado.</w:t>
      </w:r>
    </w:p>
    <w:p w:rsidR="007E562F" w:rsidRDefault="009941CF">
      <w:pPr>
        <w:ind w:left="-5" w:right="9"/>
      </w:pPr>
      <w:r>
        <w:t>III – Para regularização de unificação, desdobro ou remanejam</w:t>
      </w:r>
      <w:r>
        <w:t>ento de lotes:</w:t>
      </w:r>
    </w:p>
    <w:p w:rsidR="007E562F" w:rsidRDefault="009941CF">
      <w:pPr>
        <w:numPr>
          <w:ilvl w:val="0"/>
          <w:numId w:val="14"/>
        </w:numPr>
        <w:ind w:right="9" w:hanging="238"/>
      </w:pPr>
      <w:r>
        <w:t>Matrícula atualizada do imóvel em nome do requerente,expedida pelo Cartório de Registro de Imóveis competente. Na hipótese de o registro pertencer a outra comarca, deverá ser apresentada, adicionalmente, Certidão Negativa de Propriedade emit</w:t>
      </w:r>
      <w:r>
        <w:t>ida pelas circunscrições imobiliárias de São Vicente e/ou Praia Grande, conforme o caso. Tanto a matrícula quanto as certidões deverão ter data de emissão não superior a 90 (noventa) dias.</w:t>
      </w:r>
    </w:p>
    <w:p w:rsidR="007E562F" w:rsidRDefault="009941CF">
      <w:pPr>
        <w:numPr>
          <w:ilvl w:val="0"/>
          <w:numId w:val="14"/>
        </w:numPr>
        <w:ind w:right="9" w:hanging="238"/>
      </w:pPr>
      <w:r>
        <w:t>Documento de identidade oficial com foto;</w:t>
      </w:r>
    </w:p>
    <w:p w:rsidR="007E562F" w:rsidRDefault="009941CF">
      <w:pPr>
        <w:numPr>
          <w:ilvl w:val="0"/>
          <w:numId w:val="14"/>
        </w:numPr>
        <w:ind w:right="9" w:hanging="238"/>
      </w:pPr>
      <w:r>
        <w:t xml:space="preserve">Espelho de lançamento de </w:t>
      </w:r>
      <w:r>
        <w:t>IPTU;</w:t>
      </w:r>
    </w:p>
    <w:p w:rsidR="007E562F" w:rsidRDefault="009941CF">
      <w:pPr>
        <w:numPr>
          <w:ilvl w:val="0"/>
          <w:numId w:val="14"/>
        </w:numPr>
        <w:ind w:right="9" w:hanging="238"/>
      </w:pPr>
      <w:r>
        <w:t>planta do projeto assinado pelo proprietário eresponsável técnico, contendo:</w:t>
      </w:r>
    </w:p>
    <w:p w:rsidR="007E562F" w:rsidRDefault="009941CF">
      <w:pPr>
        <w:numPr>
          <w:ilvl w:val="1"/>
          <w:numId w:val="14"/>
        </w:numPr>
        <w:ind w:right="9"/>
      </w:pPr>
      <w:r>
        <w:t>planta de situação da quadra conforme situação atual,identificando os demais lotes da quadra ou denominação do loteamento confrontante e apresentados em escala apropriada;</w:t>
      </w:r>
    </w:p>
    <w:tbl>
      <w:tblPr>
        <w:tblStyle w:val="TableGrid"/>
        <w:tblpPr w:vertAnchor="text" w:horzAnchor="margin"/>
        <w:tblOverlap w:val="never"/>
        <w:tblW w:w="10658" w:type="dxa"/>
        <w:tblInd w:w="0" w:type="dxa"/>
        <w:tblCellMar>
          <w:top w:w="16" w:type="dxa"/>
          <w:left w:w="165" w:type="dxa"/>
          <w:bottom w:w="0" w:type="dxa"/>
          <w:right w:w="0" w:type="dxa"/>
        </w:tblCellMar>
        <w:tblLook w:val="04A0" w:firstRow="1" w:lastRow="0" w:firstColumn="1" w:lastColumn="0" w:noHBand="0" w:noVBand="1"/>
      </w:tblPr>
      <w:tblGrid>
        <w:gridCol w:w="10658"/>
      </w:tblGrid>
      <w:tr w:rsidR="007E562F">
        <w:trPr>
          <w:trHeight w:val="169"/>
        </w:trPr>
        <w:tc>
          <w:tcPr>
            <w:tcW w:w="10501" w:type="dxa"/>
            <w:tcBorders>
              <w:top w:val="nil"/>
              <w:left w:val="nil"/>
              <w:bottom w:val="nil"/>
              <w:right w:val="nil"/>
            </w:tcBorders>
          </w:tcPr>
          <w:p w:rsidR="007E562F" w:rsidRDefault="009941CF">
            <w:pPr>
              <w:tabs>
                <w:tab w:val="right" w:pos="10493"/>
              </w:tabs>
              <w:spacing w:after="0" w:line="259" w:lineRule="auto"/>
              <w:ind w:left="0" w:right="-7" w:firstLine="0"/>
              <w:jc w:val="left"/>
            </w:pPr>
            <w:r>
              <w:rPr>
                <w:rFonts w:ascii="Arial" w:eastAsia="Arial" w:hAnsi="Arial" w:cs="Arial"/>
                <w:b/>
                <w:color w:val="FFFFFF"/>
                <w:sz w:val="16"/>
              </w:rPr>
              <w:t>A</w:t>
            </w:r>
            <w:r>
              <w:rPr>
                <w:rFonts w:ascii="Arial" w:eastAsia="Arial" w:hAnsi="Arial" w:cs="Arial"/>
                <w:b/>
                <w:color w:val="FFFFFF"/>
                <w:sz w:val="16"/>
              </w:rPr>
              <w:t>no I | Edição nº 199 | 03/10/2025</w:t>
            </w:r>
            <w:r>
              <w:rPr>
                <w:rFonts w:ascii="Arial" w:eastAsia="Arial" w:hAnsi="Arial" w:cs="Arial"/>
                <w:b/>
                <w:color w:val="FFFFFF"/>
                <w:sz w:val="16"/>
              </w:rPr>
              <w:tab/>
              <w:t>WWW.PRAIAGRANDE.SP.GOV.BR</w:t>
            </w:r>
          </w:p>
        </w:tc>
      </w:tr>
    </w:tbl>
    <w:p w:rsidR="007E562F" w:rsidRDefault="009941CF">
      <w:pPr>
        <w:numPr>
          <w:ilvl w:val="1"/>
          <w:numId w:val="14"/>
        </w:numPr>
        <w:ind w:right="9"/>
      </w:pPr>
      <w:r>
        <w:t>Lotes representados em escala 1:100 ou 1:200, com aindicação de cursos d’água, áreas de preservação permanente e faixas “non aedificandi”, que porventura gravem o imóvel, bem como servidões decor</w:t>
      </w:r>
      <w:r>
        <w:t>rentes do projeto;</w:t>
      </w:r>
    </w:p>
    <w:p w:rsidR="007E562F" w:rsidRDefault="009941CF">
      <w:pPr>
        <w:numPr>
          <w:ilvl w:val="1"/>
          <w:numId w:val="14"/>
        </w:numPr>
        <w:ind w:right="9"/>
      </w:pPr>
      <w:r>
        <w:t>Representação dos lotes conforme situação primitiva esituação pretendida, com as respectivas denominações em cada lote com as indicações das medidas de cada segmento do perímetro de que define o imóvel e da área total (em metros quadrados) de cada lote;</w:t>
      </w:r>
    </w:p>
    <w:p w:rsidR="007E562F" w:rsidRDefault="009941CF">
      <w:pPr>
        <w:numPr>
          <w:ilvl w:val="1"/>
          <w:numId w:val="14"/>
        </w:numPr>
        <w:ind w:right="9"/>
      </w:pPr>
      <w:r>
        <w:t>Qu</w:t>
      </w:r>
      <w:r>
        <w:t>adro de áreas com as testadas e áreas dos terrenosprimitivos e pretendidos;</w:t>
      </w:r>
    </w:p>
    <w:p w:rsidR="007E562F" w:rsidRDefault="009941CF">
      <w:pPr>
        <w:numPr>
          <w:ilvl w:val="0"/>
          <w:numId w:val="14"/>
        </w:numPr>
        <w:ind w:right="9" w:hanging="238"/>
      </w:pPr>
      <w:r>
        <w:t>Memorial descritivo, assinado por profissionalhabilitado, responsável pelo levantamento; f) ART/ RRT/ TRT referente ao projeto;</w:t>
      </w:r>
    </w:p>
    <w:p w:rsidR="007E562F" w:rsidRDefault="009941CF">
      <w:pPr>
        <w:numPr>
          <w:ilvl w:val="0"/>
          <w:numId w:val="15"/>
        </w:numPr>
        <w:spacing w:after="55"/>
        <w:ind w:right="57"/>
      </w:pPr>
      <w:r>
        <w:t>laudo fotográfico contemplando imagens aéreas, obtid</w:t>
      </w:r>
      <w:r>
        <w:t>asde aerofotos — especialmente as captadas pelo Google relativas aos anos de 2005, 2017 e as disponíveis até a presente data —, elaborado por profissional habilitado e acompanhado de representação gráfica da quadra, com lotes confrontantes e das vias que a</w:t>
      </w:r>
      <w:r>
        <w:t xml:space="preserve"> circundam; o laudo deverá observar os requisitos da ABNT NBR?13752:1996 – Perícias de Engenharia na Construção Civil atualizada, especialmente quanto à numeração e datação das fotografias pelos profissionais, à numeração sequencial, e ao uso de croqui ou </w:t>
      </w:r>
      <w:r>
        <w:t>planta da área vistoriada, e estar instruído com respectiva Anotação ou Registro de Responsabilidade Técnica ou documento equivalente. g1) O laudo deverá demonstrar com fidelidade a área objeto da regularização, devendo conter as informações e elementos vi</w:t>
      </w:r>
      <w:r>
        <w:t>suais necessários para a perfeita compreensão da localização e delimitação da zoneamento urbanístico. g2) Ressalvadas as exigências específicas desta Lei Complementar, os procedimentos de elaboração e apresentação técnica devem obedecer integralmente aos d</w:t>
      </w:r>
      <w:r>
        <w:t>emais requisitos previstos na NBR?13752:1996 relativos às perícias de engenharia, inclusive quanto à identificação dos profissionais, assinatura, croqui, detalhamentos e demais documentos.</w:t>
      </w:r>
    </w:p>
    <w:p w:rsidR="007E562F" w:rsidRDefault="009941CF">
      <w:pPr>
        <w:numPr>
          <w:ilvl w:val="0"/>
          <w:numId w:val="15"/>
        </w:numPr>
        <w:ind w:right="57"/>
      </w:pPr>
      <w:r>
        <w:t xml:space="preserve">levantamento topográfico georreferenciado, a serapresentado após a </w:t>
      </w:r>
      <w:r>
        <w:t>emissão de “Comunique-se”, em razão de dúvida técnica.</w:t>
      </w:r>
    </w:p>
    <w:p w:rsidR="007E562F" w:rsidRDefault="009941CF">
      <w:pPr>
        <w:ind w:left="-5" w:right="9"/>
      </w:pPr>
      <w:r>
        <w:t>CAPÍTULO IV</w:t>
      </w:r>
    </w:p>
    <w:p w:rsidR="007E562F" w:rsidRDefault="009941CF">
      <w:pPr>
        <w:ind w:left="-5" w:right="9"/>
      </w:pPr>
      <w:r>
        <w:t>DA REGULARIZAÇÃO SUMÁRIA</w:t>
      </w:r>
    </w:p>
    <w:p w:rsidR="007E562F" w:rsidRDefault="009941CF">
      <w:pPr>
        <w:ind w:left="-5" w:right="105"/>
      </w:pPr>
      <w:r>
        <w:t>Art. 8º Poderão ser objeto de regularização sumária as edificações concluídas, nos termos definidos pela Lei de Uso, Ocupação e Parcelamento do Solo, que:</w:t>
      </w:r>
    </w:p>
    <w:p w:rsidR="007E562F" w:rsidRDefault="009941CF">
      <w:pPr>
        <w:numPr>
          <w:ilvl w:val="0"/>
          <w:numId w:val="16"/>
        </w:numPr>
        <w:ind w:right="105" w:hanging="128"/>
      </w:pPr>
      <w:r>
        <w:t>– possuam</w:t>
      </w:r>
      <w:r>
        <w:t xml:space="preserve"> área total construída de até 750 m²;</w:t>
      </w:r>
    </w:p>
    <w:p w:rsidR="007E562F" w:rsidRDefault="009941CF">
      <w:pPr>
        <w:numPr>
          <w:ilvl w:val="0"/>
          <w:numId w:val="16"/>
        </w:numPr>
        <w:ind w:right="105" w:hanging="128"/>
      </w:pPr>
      <w:r>
        <w:t>- estejam situadas em lotes legalizados, com medidas econfrontações que estejam de acordo a com matrícula emitida pelo CRI competente;</w:t>
      </w:r>
    </w:p>
    <w:p w:rsidR="007E562F" w:rsidRDefault="009941CF">
      <w:pPr>
        <w:numPr>
          <w:ilvl w:val="0"/>
          <w:numId w:val="16"/>
        </w:numPr>
        <w:ind w:right="105" w:hanging="128"/>
      </w:pPr>
      <w:r>
        <w:t>- não estejam constituídas sob regime de condomínio;IV –atendam aos requisitos prev</w:t>
      </w:r>
      <w:r>
        <w:t>istos no art. 1º e no inciso I do art. 7º desta Lei Complementar.</w:t>
      </w:r>
    </w:p>
    <w:p w:rsidR="007E562F" w:rsidRDefault="009941CF">
      <w:pPr>
        <w:ind w:left="-5" w:right="9"/>
      </w:pPr>
      <w:r>
        <w:t>V – tenham uso compatível com a zona de uso, conforme a legislação urbanística vigente;</w:t>
      </w:r>
    </w:p>
    <w:p w:rsidR="007E562F" w:rsidRDefault="009941CF">
      <w:pPr>
        <w:ind w:left="-5" w:right="105"/>
      </w:pPr>
      <w:r>
        <w:t>Parágrafo único. O imóvel comercial ou misto poderá ser objeto de regularização por esta modalidade de</w:t>
      </w:r>
      <w:r>
        <w:t>sde que admita CLCB ficando sob a responsabilidade do profissional técnico o enquadramento e a apresentação do referido documento.</w:t>
      </w:r>
    </w:p>
    <w:p w:rsidR="007E562F" w:rsidRDefault="009941CF">
      <w:pPr>
        <w:ind w:left="-5" w:right="105"/>
      </w:pPr>
      <w:r>
        <w:t>Art. 9º Após o protocolo digital do pedido de regularização sumária, a Divisão de Expediente de Obras da Secretaria Municipal</w:t>
      </w:r>
      <w:r>
        <w:t xml:space="preserve"> de Urbanismo procederá à emissão das respectivas taxas e multas, com base na declaração prestada pelo requerente no laudo de vistoria, remetendose, em seguida, o processo ao Departamento de Receita da Secretaria Municipal de Finanças, para fins de lançame</w:t>
      </w:r>
      <w:r>
        <w:t>nto tributário. Concluído esse trâmite e mediante comprovação do pagamento das taxas e multas a Secretaria Municipal de Urbanismo emitirá a respectiva Alvará de Regularização de Obra Concluída.</w:t>
      </w:r>
    </w:p>
    <w:tbl>
      <w:tblPr>
        <w:tblStyle w:val="TableGrid"/>
        <w:tblpPr w:vertAnchor="text" w:horzAnchor="margin" w:tblpY="858"/>
        <w:tblOverlap w:val="never"/>
        <w:tblW w:w="10658" w:type="dxa"/>
        <w:tblInd w:w="0" w:type="dxa"/>
        <w:tblCellMar>
          <w:top w:w="16" w:type="dxa"/>
          <w:left w:w="165" w:type="dxa"/>
          <w:bottom w:w="0" w:type="dxa"/>
          <w:right w:w="0" w:type="dxa"/>
        </w:tblCellMar>
        <w:tblLook w:val="04A0" w:firstRow="1" w:lastRow="0" w:firstColumn="1" w:lastColumn="0" w:noHBand="0" w:noVBand="1"/>
      </w:tblPr>
      <w:tblGrid>
        <w:gridCol w:w="10658"/>
      </w:tblGrid>
      <w:tr w:rsidR="007E562F">
        <w:trPr>
          <w:trHeight w:val="169"/>
        </w:trPr>
        <w:tc>
          <w:tcPr>
            <w:tcW w:w="10501" w:type="dxa"/>
            <w:tcBorders>
              <w:top w:val="nil"/>
              <w:left w:val="nil"/>
              <w:bottom w:val="nil"/>
              <w:right w:val="nil"/>
            </w:tcBorders>
          </w:tcPr>
          <w:p w:rsidR="007E562F" w:rsidRDefault="009941CF">
            <w:pPr>
              <w:tabs>
                <w:tab w:val="right" w:pos="10493"/>
              </w:tabs>
              <w:spacing w:after="0" w:line="259" w:lineRule="auto"/>
              <w:ind w:left="0" w:right="-7" w:firstLine="0"/>
              <w:jc w:val="left"/>
            </w:pPr>
            <w:r>
              <w:rPr>
                <w:rFonts w:ascii="Arial" w:eastAsia="Arial" w:hAnsi="Arial" w:cs="Arial"/>
                <w:b/>
                <w:color w:val="FFFFFF"/>
                <w:sz w:val="16"/>
              </w:rPr>
              <w:t>Ano I | Edição nº 199 | 03/10/2025</w:t>
            </w:r>
            <w:r>
              <w:rPr>
                <w:rFonts w:ascii="Arial" w:eastAsia="Arial" w:hAnsi="Arial" w:cs="Arial"/>
                <w:b/>
                <w:color w:val="FFFFFF"/>
                <w:sz w:val="16"/>
              </w:rPr>
              <w:tab/>
              <w:t>WWW.PRAIAGRANDE.SP.GOV.BR</w:t>
            </w:r>
          </w:p>
        </w:tc>
      </w:tr>
    </w:tbl>
    <w:p w:rsidR="007E562F" w:rsidRDefault="009941CF">
      <w:pPr>
        <w:ind w:left="-5" w:right="105"/>
      </w:pPr>
      <w:r>
        <w:t>Art. 10 Durante o período de 05 (cinco) anos contados da data de emissão da Carta de Ocupação por Regularização, na modalidade sumária, o imóvel poderá sofrer auditoria por meio de amostragem, conforme critérios técnicos e objetivos previamente estabeleci</w:t>
      </w:r>
      <w:r>
        <w:t>dos em Decreto, observados os princípios da impessoalidade, da eficiência e da legalidade.</w:t>
      </w:r>
    </w:p>
    <w:p w:rsidR="007E562F" w:rsidRDefault="009941CF">
      <w:pPr>
        <w:ind w:left="-5" w:right="9"/>
      </w:pPr>
      <w:r>
        <w:t>§ 1º A auditoria tratada no “caput” deste artigo poderá ser exercida em parceria com outras entidades ou empresas que possuam objetivos afins.</w:t>
      </w:r>
    </w:p>
    <w:p w:rsidR="007E562F" w:rsidRDefault="009941CF">
      <w:pPr>
        <w:ind w:left="-5" w:right="9"/>
      </w:pPr>
      <w:r>
        <w:t>§ 2º A adoção da fisca</w:t>
      </w:r>
      <w:r>
        <w:t>lização por amostragem não exclui a possibilidade de realização de vistorias específicas ou rotineiras pela fiscalização da Municipalidade, quando houver denúncia formal, indícios de irregularidade ou por determinação administrativa devidamente justificada</w:t>
      </w:r>
      <w:r>
        <w:t>. § 3º Constatada irregularidade, serão imediatamente adotados os procedimentos administrativos cabíveis para a apuração dos fatos e aplicação das sanções pertinentes, aplicando-se, de forma subsidiária a esta legislação, o Código de Obras e Edificações do</w:t>
      </w:r>
      <w:r>
        <w:t xml:space="preserve"> Município, a Lei do</w:t>
      </w:r>
    </w:p>
    <w:p w:rsidR="007E562F" w:rsidRDefault="009941CF">
      <w:pPr>
        <w:ind w:left="-5" w:right="9"/>
      </w:pPr>
      <w:r>
        <w:t xml:space="preserve">Uso, do Ordenamento e do Parcelamento do Solo, Código Tributário Municipal e demais normas aplicáveis à espécie, desde que não conflitem com esta Lei Complementar. § 4º Fica o Poder Executivo autorizado, dentro do período estabelecido </w:t>
      </w:r>
      <w:r>
        <w:t>no caput deste artigo, a proceder à cobrança complementar de taxas, multas e demais lançamentos tributários, quando constatada divergência entre a área e o padrão da construção declarados pelo requerente e aqueles efetivamente apurados pela Administração M</w:t>
      </w:r>
      <w:r>
        <w:t>unicipal.</w:t>
      </w:r>
    </w:p>
    <w:p w:rsidR="007E562F" w:rsidRDefault="009941CF">
      <w:pPr>
        <w:spacing w:after="37"/>
        <w:ind w:left="-5" w:right="9"/>
      </w:pPr>
      <w:r>
        <w:t>CAPÍTULO V</w:t>
      </w:r>
    </w:p>
    <w:p w:rsidR="007E562F" w:rsidRDefault="009941CF">
      <w:pPr>
        <w:tabs>
          <w:tab w:val="center" w:pos="1565"/>
          <w:tab w:val="center" w:pos="3430"/>
          <w:tab w:val="center" w:pos="4427"/>
          <w:tab w:val="right" w:pos="5125"/>
        </w:tabs>
        <w:ind w:left="-15" w:firstLine="0"/>
        <w:jc w:val="left"/>
      </w:pPr>
      <w:r>
        <w:t xml:space="preserve">DA </w:t>
      </w:r>
      <w:r>
        <w:tab/>
        <w:t xml:space="preserve">REGULARIZAÇÃO </w:t>
      </w:r>
      <w:r>
        <w:tab/>
        <w:t xml:space="preserve">ORDINÁRIA </w:t>
      </w:r>
      <w:r>
        <w:tab/>
        <w:t xml:space="preserve">E </w:t>
      </w:r>
      <w:r>
        <w:tab/>
        <w:t>DO</w:t>
      </w:r>
    </w:p>
    <w:p w:rsidR="007E562F" w:rsidRDefault="009941CF">
      <w:pPr>
        <w:ind w:left="-5" w:right="9"/>
      </w:pPr>
      <w:r>
        <w:t>PROCEDIMENTO ADMINISTRATIVO</w:t>
      </w:r>
    </w:p>
    <w:p w:rsidR="007E562F" w:rsidRDefault="009941CF">
      <w:pPr>
        <w:ind w:left="-5" w:right="9"/>
      </w:pPr>
      <w:r>
        <w:t>Art. 11 A edificação que não se enquadrar na hipótese prevista no artigo 8º desta lei, será classificada como regularização ordinária.</w:t>
      </w:r>
    </w:p>
    <w:p w:rsidR="007E562F" w:rsidRDefault="009941CF">
      <w:pPr>
        <w:ind w:left="-5" w:right="9"/>
      </w:pPr>
      <w:r>
        <w:t>I – A Divisão de Expediente de Obras</w:t>
      </w:r>
      <w:r>
        <w:t>, após o protocolo digital, procederá com a emissão das respectivas taxas e multas, com base na declaração prestada pelo requerente no laudo de vistoria:</w:t>
      </w:r>
    </w:p>
    <w:p w:rsidR="007E562F" w:rsidRDefault="009941CF">
      <w:pPr>
        <w:numPr>
          <w:ilvl w:val="0"/>
          <w:numId w:val="17"/>
        </w:numPr>
        <w:ind w:right="57"/>
      </w:pPr>
      <w:r>
        <w:t>Para regularização de edificação concluída, remeterá, oprocesso ao Departamento de Receita da Secretar</w:t>
      </w:r>
      <w:r>
        <w:t>ia Municipal de Finanças, para fins de lançamento tributário.</w:t>
      </w:r>
    </w:p>
    <w:p w:rsidR="007E562F" w:rsidRDefault="009941CF">
      <w:pPr>
        <w:ind w:left="-5" w:right="9"/>
      </w:pPr>
      <w:r>
        <w:t>Retornando os autos, deverá encaminhar o processo a Divisão de Parcelamento do Solo.</w:t>
      </w:r>
    </w:p>
    <w:p w:rsidR="007E562F" w:rsidRDefault="009941CF">
      <w:pPr>
        <w:numPr>
          <w:ilvl w:val="0"/>
          <w:numId w:val="17"/>
        </w:numPr>
        <w:ind w:right="57"/>
      </w:pPr>
      <w:r>
        <w:t>Para regularização de edificação não concluída e pararegularização de unificação, desdobro ou remanejamento d</w:t>
      </w:r>
      <w:r>
        <w:t>e lotes, deverá remeter o processo a Divisão de Parcelamento do Solo.</w:t>
      </w:r>
    </w:p>
    <w:p w:rsidR="007E562F" w:rsidRDefault="009941CF">
      <w:pPr>
        <w:numPr>
          <w:ilvl w:val="0"/>
          <w:numId w:val="18"/>
        </w:numPr>
        <w:ind w:right="105"/>
      </w:pPr>
      <w:r>
        <w:t>- A Divisão de Parcelamento do Solo instruirá os autoscom informações sobre o lote e, quando necessário, remeterá o processo à Secretaria Municipal de Meio Ambiente (SEMA) ou à Divisão d</w:t>
      </w:r>
      <w:r>
        <w:t>e Obras Particulares, que analisará a documentação técnica apresentada. Com base nas informações constantes do Laudo Técnico de Vistoria, comprovação do pagamento das taxas e multas e não havendo dúvidas a serem sanadas ou documentos a serem exigidos, serã</w:t>
      </w:r>
      <w:r>
        <w:t>o emitidos os alvarás pertinentes, conforme o caso.</w:t>
      </w:r>
    </w:p>
    <w:p w:rsidR="007E562F" w:rsidRDefault="009941CF">
      <w:pPr>
        <w:numPr>
          <w:ilvl w:val="0"/>
          <w:numId w:val="18"/>
        </w:numPr>
        <w:ind w:right="105"/>
      </w:pPr>
      <w:r>
        <w:t xml:space="preserve">- O Laudo Técnico de Vistoria e o Laudo Fotográfico,ainda que se refiram a obra não concluída, poderão substituir a informação fiscal para todos os efeitos relacionados ao lançamento tributário e à emissão de alvarás previstos nesta lei, salvo, em caso de </w:t>
      </w:r>
      <w:r>
        <w:t>divergência entre os referidos documentos e a informação fiscal, esta última prevalecerá para todos os fins.</w:t>
      </w:r>
    </w:p>
    <w:p w:rsidR="007E562F" w:rsidRDefault="009941CF">
      <w:pPr>
        <w:ind w:left="-5" w:right="105"/>
      </w:pPr>
      <w:r>
        <w:t>Art. 12 Durante o período de 05 (cinco) anos contados da data do alvará pertinente, o imóvel poderá sofrer auditoria por meio de amostragem, confor</w:t>
      </w:r>
      <w:r>
        <w:t>me critérios técnicos e objetivos previamente estabelecidos em Decreto, observados os princípios da impessoalidade, da eficiência e da legalidade.</w:t>
      </w:r>
    </w:p>
    <w:p w:rsidR="007E562F" w:rsidRDefault="009941CF">
      <w:pPr>
        <w:ind w:left="-5" w:right="105"/>
      </w:pPr>
      <w:r>
        <w:t>§ 1º A auditoria tratada no “caput” deste artigo poderá ser exercida em parceria com outras entidades ou empr</w:t>
      </w:r>
      <w:r>
        <w:t>esas que possuam objetivos afins.</w:t>
      </w:r>
    </w:p>
    <w:tbl>
      <w:tblPr>
        <w:tblStyle w:val="TableGrid"/>
        <w:tblpPr w:vertAnchor="text" w:horzAnchor="margin" w:tblpY="858"/>
        <w:tblOverlap w:val="never"/>
        <w:tblW w:w="10763" w:type="dxa"/>
        <w:tblInd w:w="0" w:type="dxa"/>
        <w:tblCellMar>
          <w:top w:w="16" w:type="dxa"/>
          <w:left w:w="165" w:type="dxa"/>
          <w:bottom w:w="0" w:type="dxa"/>
          <w:right w:w="98" w:type="dxa"/>
        </w:tblCellMar>
        <w:tblLook w:val="04A0" w:firstRow="1" w:lastRow="0" w:firstColumn="1" w:lastColumn="0" w:noHBand="0" w:noVBand="1"/>
      </w:tblPr>
      <w:tblGrid>
        <w:gridCol w:w="10763"/>
      </w:tblGrid>
      <w:tr w:rsidR="007E562F">
        <w:trPr>
          <w:trHeight w:val="169"/>
        </w:trPr>
        <w:tc>
          <w:tcPr>
            <w:tcW w:w="10501" w:type="dxa"/>
            <w:tcBorders>
              <w:top w:val="nil"/>
              <w:left w:val="nil"/>
              <w:bottom w:val="nil"/>
              <w:right w:val="nil"/>
            </w:tcBorders>
          </w:tcPr>
          <w:p w:rsidR="007E562F" w:rsidRDefault="009941CF">
            <w:pPr>
              <w:tabs>
                <w:tab w:val="right" w:pos="10501"/>
              </w:tabs>
              <w:spacing w:after="0" w:line="259" w:lineRule="auto"/>
              <w:ind w:left="0" w:firstLine="0"/>
              <w:jc w:val="left"/>
            </w:pPr>
            <w:r>
              <w:rPr>
                <w:rFonts w:ascii="Arial" w:eastAsia="Arial" w:hAnsi="Arial" w:cs="Arial"/>
                <w:b/>
                <w:color w:val="FFFFFF"/>
                <w:sz w:val="16"/>
              </w:rPr>
              <w:t>Ano I | Edição nº 199 | 03/10/2025</w:t>
            </w:r>
            <w:r>
              <w:rPr>
                <w:rFonts w:ascii="Arial" w:eastAsia="Arial" w:hAnsi="Arial" w:cs="Arial"/>
                <w:b/>
                <w:color w:val="FFFFFF"/>
                <w:sz w:val="16"/>
              </w:rPr>
              <w:tab/>
              <w:t>WWW.PRAIAGRANDE.SP.GOV.BR</w:t>
            </w:r>
          </w:p>
        </w:tc>
      </w:tr>
    </w:tbl>
    <w:p w:rsidR="007E562F" w:rsidRDefault="009941CF">
      <w:pPr>
        <w:ind w:left="-5" w:right="105"/>
      </w:pPr>
      <w:r>
        <w:t>§ 2º A adoção da fiscalização por amostragem não exclui a possibilidade de realização de vistorias específicas ou rotineiras pela fiscalização da Municipalidade</w:t>
      </w:r>
      <w:r>
        <w:t>, quando houver denúncia formal, indícios de irregularidade ou por determinação administrativa devidamente justificada. § 3º Verificada qualquer irregularidade, serão prontamente adotadas as medidas administrativas cabíveis, com vistas à apuração dos fatos</w:t>
      </w:r>
      <w:r>
        <w:t xml:space="preserve"> e à aplicação das sanções legais pertinentes.</w:t>
      </w:r>
    </w:p>
    <w:p w:rsidR="007E562F" w:rsidRDefault="009941CF">
      <w:pPr>
        <w:ind w:left="-5" w:right="9"/>
      </w:pPr>
      <w:r>
        <w:t>§ 4º Fica o Poder Executivo autorizado, dentro do período estabelecido no caput deste artigo, a proceder à cobrança complementar de taxas, multas e demais lançamentos tributários, quando constatada divergência</w:t>
      </w:r>
      <w:r>
        <w:t xml:space="preserve"> entre a área e o padrão da construção declarados pelo requerente e aqueles efetivamente apurados pela Administração Municipal. Art. 13 O encaminhamento do processo de regularização à</w:t>
      </w:r>
    </w:p>
    <w:p w:rsidR="007E562F" w:rsidRDefault="009941CF">
      <w:pPr>
        <w:spacing w:after="330"/>
        <w:ind w:left="-5" w:right="9"/>
      </w:pPr>
      <w:r>
        <w:t>Divisão de Parcelamento do Solo ou à Divisão de Obras Particulares somen</w:t>
      </w:r>
      <w:r>
        <w:t>te se dará mediante a apresentação, pelo interessado, da integralidade dos documentos previstos no Capítulo III desta Lei Complementar, referentes ao caso específico. A omissão na apresentação de qualquer documento implicará o imediato arquivamento do proc</w:t>
      </w:r>
      <w:r>
        <w:t>esso.</w:t>
      </w:r>
    </w:p>
    <w:p w:rsidR="007E562F" w:rsidRDefault="009941CF">
      <w:pPr>
        <w:ind w:left="-5" w:right="9"/>
      </w:pPr>
      <w:r>
        <w:t>CAPÍTULO VI</w:t>
      </w:r>
    </w:p>
    <w:p w:rsidR="007E562F" w:rsidRDefault="009941CF">
      <w:pPr>
        <w:ind w:left="-5" w:right="9"/>
      </w:pPr>
      <w:r>
        <w:t>DOS PRAZOS</w:t>
      </w:r>
    </w:p>
    <w:p w:rsidR="007E562F" w:rsidRDefault="009941CF">
      <w:pPr>
        <w:ind w:left="-5" w:right="9"/>
      </w:pPr>
      <w:r>
        <w:t>Art. 14 O requerimento de regularização deverá ser protocolado no prazo de até 01 (um ano) ano, contados da data de publicação desta Lei Complementar. Esse prazo poderá ser prorrogado, por igual período, mediante edição de Decr</w:t>
      </w:r>
      <w:r>
        <w:t>eto, desde que haja interesse por parte da Administração Municipal.</w:t>
      </w:r>
    </w:p>
    <w:p w:rsidR="007E562F" w:rsidRDefault="009941CF">
      <w:pPr>
        <w:ind w:left="-5" w:right="9"/>
      </w:pPr>
      <w:r>
        <w:t>Parágrafo único. O disposto no presente artigo não se aplica às situações de regularização de imóveis situados em áreas abrangidas por processos de regularização fundiária de interesse soc</w:t>
      </w:r>
      <w:r>
        <w:t>ial, permanecendo o prazo para sua regularização em vigor de maneira contínua enquanto perdurarem as referidas condições no âmbito do Município.</w:t>
      </w:r>
    </w:p>
    <w:p w:rsidR="007E562F" w:rsidRDefault="009941CF">
      <w:pPr>
        <w:ind w:left="-5" w:right="9"/>
      </w:pPr>
      <w:r>
        <w:t>Art. 15 O alvará de aprovação emitido para regularização de edificações não concluída ou com estrutura definida</w:t>
      </w:r>
      <w:r>
        <w:t xml:space="preserve"> terá validade de 2 (dois) anos a partir da data do respectivo deferimento, podendo ser revalidado, enquanto não for requerida a expedição da Carta de Habitação por Regularização ou da Carta de Ocupação por</w:t>
      </w:r>
    </w:p>
    <w:p w:rsidR="007E562F" w:rsidRDefault="009941CF">
      <w:pPr>
        <w:ind w:left="-5" w:right="105"/>
      </w:pPr>
      <w:r>
        <w:t>Regularização, cobrando-se as taxas relativas a renovação de alvará prevista no Código de Obras e Edificações Municipais.</w:t>
      </w:r>
    </w:p>
    <w:p w:rsidR="007E562F" w:rsidRDefault="009941CF">
      <w:pPr>
        <w:ind w:left="-5" w:right="105"/>
      </w:pPr>
      <w:r>
        <w:t>Art. 16 A Secretaria Municipal de Urbanismo poderá, a qualquer tempo, promover o lançamento predial de imóveis cuja irregularidade sej</w:t>
      </w:r>
      <w:r>
        <w:t>a através de aerofoto por qualquer servidor municipal lotado na Secretaria de Urbanismo ou constatada pela fiscalização municipal, independente, do pedido de regularidade da edificação.</w:t>
      </w:r>
    </w:p>
    <w:p w:rsidR="007E562F" w:rsidRDefault="009941CF">
      <w:pPr>
        <w:ind w:left="-5" w:right="9"/>
      </w:pPr>
      <w:r>
        <w:t>CAPÍTULO VII</w:t>
      </w:r>
    </w:p>
    <w:p w:rsidR="007E562F" w:rsidRDefault="009941CF">
      <w:pPr>
        <w:ind w:left="-5" w:right="9"/>
      </w:pPr>
      <w:r>
        <w:t>DAS TAXAS E MULTAS</w:t>
      </w:r>
    </w:p>
    <w:p w:rsidR="007E562F" w:rsidRDefault="009941CF">
      <w:pPr>
        <w:ind w:left="-5" w:right="105"/>
      </w:pPr>
      <w:r>
        <w:t xml:space="preserve">Art. 17 Para requerer a regularização </w:t>
      </w:r>
      <w:r>
        <w:t>de edificação ou lote nos termos desta Lei Complementar, o interessado deverá recolher em triplo as taxas previstas na Legislação de Obras e Edificações (LOE), da Lei do Ordenamento do Uso, da Ocupação e do Parcelamento do Solo (LUOPS) e do Código Tributár</w:t>
      </w:r>
      <w:r>
        <w:t>io do Município.</w:t>
      </w:r>
    </w:p>
    <w:p w:rsidR="007E562F" w:rsidRDefault="009941CF">
      <w:pPr>
        <w:ind w:left="-5" w:right="105"/>
      </w:pPr>
      <w:r>
        <w:t>§ 1º O cálculo das taxas referentes à Revalidação de Alvará, à emissão de Carta de Habitação por Regularização ou de Carta de Ocupação por Regularização será realizado, sem aplicação do fator multiplicador.</w:t>
      </w:r>
    </w:p>
    <w:p w:rsidR="007E562F" w:rsidRDefault="009941CF">
      <w:pPr>
        <w:ind w:left="-5" w:right="9"/>
      </w:pPr>
      <w:r>
        <w:t>§ 2º Considera-se ocorrido o fat</w:t>
      </w:r>
      <w:r>
        <w:t>o gerador no ato do protocolo dos pedidos.</w:t>
      </w:r>
    </w:p>
    <w:p w:rsidR="007E562F" w:rsidRDefault="009941CF">
      <w:pPr>
        <w:ind w:left="-5" w:right="105"/>
      </w:pPr>
      <w:r>
        <w:t>§ 3º Excetuam-se da regra do “caput” deste artigo os imóveis localizados nas zonas ZPR-1 ou ZUD-2, desde que a área construída não ultrapasse 80,00 m².</w:t>
      </w:r>
    </w:p>
    <w:tbl>
      <w:tblPr>
        <w:tblStyle w:val="TableGrid"/>
        <w:tblpPr w:vertAnchor="text" w:horzAnchor="margin" w:tblpY="1848"/>
        <w:tblOverlap w:val="never"/>
        <w:tblW w:w="10658" w:type="dxa"/>
        <w:tblInd w:w="0" w:type="dxa"/>
        <w:tblCellMar>
          <w:top w:w="16" w:type="dxa"/>
          <w:left w:w="165" w:type="dxa"/>
          <w:bottom w:w="0" w:type="dxa"/>
          <w:right w:w="0" w:type="dxa"/>
        </w:tblCellMar>
        <w:tblLook w:val="04A0" w:firstRow="1" w:lastRow="0" w:firstColumn="1" w:lastColumn="0" w:noHBand="0" w:noVBand="1"/>
      </w:tblPr>
      <w:tblGrid>
        <w:gridCol w:w="10658"/>
      </w:tblGrid>
      <w:tr w:rsidR="007E562F">
        <w:trPr>
          <w:trHeight w:val="169"/>
        </w:trPr>
        <w:tc>
          <w:tcPr>
            <w:tcW w:w="10501" w:type="dxa"/>
            <w:tcBorders>
              <w:top w:val="nil"/>
              <w:left w:val="nil"/>
              <w:bottom w:val="nil"/>
              <w:right w:val="nil"/>
            </w:tcBorders>
          </w:tcPr>
          <w:p w:rsidR="007E562F" w:rsidRDefault="009941CF">
            <w:pPr>
              <w:tabs>
                <w:tab w:val="right" w:pos="10493"/>
              </w:tabs>
              <w:spacing w:after="0" w:line="259" w:lineRule="auto"/>
              <w:ind w:left="0" w:right="-7" w:firstLine="0"/>
              <w:jc w:val="left"/>
            </w:pPr>
            <w:r>
              <w:rPr>
                <w:rFonts w:ascii="Arial" w:eastAsia="Arial" w:hAnsi="Arial" w:cs="Arial"/>
                <w:b/>
                <w:color w:val="FFFFFF"/>
                <w:sz w:val="16"/>
              </w:rPr>
              <w:t>Ano I | Edição nº 199 | 03/10/2025</w:t>
            </w:r>
            <w:r>
              <w:rPr>
                <w:rFonts w:ascii="Arial" w:eastAsia="Arial" w:hAnsi="Arial" w:cs="Arial"/>
                <w:b/>
                <w:color w:val="FFFFFF"/>
                <w:sz w:val="16"/>
              </w:rPr>
              <w:tab/>
              <w:t>WWW.PRAIAGRANDE.SP.GOV.BR</w:t>
            </w:r>
          </w:p>
        </w:tc>
      </w:tr>
    </w:tbl>
    <w:p w:rsidR="007E562F" w:rsidRDefault="009941CF">
      <w:pPr>
        <w:ind w:left="-5" w:right="9"/>
      </w:pPr>
      <w:r>
        <w:t xml:space="preserve">Art. 18 As multas serão aplicadas de forma cumulativa, conforme as hipóteses em que se enquadrarem, devendo o requerente no ato do protocolo, indicá-las no requerimento: I – No caso de edificação predial com estrutura definida ou de edificação concluída, </w:t>
      </w:r>
      <w:r>
        <w:t>será devida importância equivalente a 40% (quarenta por cento) do valor obtido pela multiplicação do valor venal do metro quadrado do lote pela área excedente a ser regularizada.</w:t>
      </w:r>
    </w:p>
    <w:p w:rsidR="007E562F" w:rsidRDefault="009941CF">
      <w:pPr>
        <w:numPr>
          <w:ilvl w:val="0"/>
          <w:numId w:val="19"/>
        </w:numPr>
        <w:ind w:right="9"/>
      </w:pPr>
      <w:r>
        <w:t>- Edificações que excedam o número de unidadesestabelecido na legislação vige</w:t>
      </w:r>
      <w:r>
        <w:t>nte que regula o Ordenamento do Uso, Ocupação e Parcelamento do Solo, deverá recolher o valor de R$ 18.800,00 (dezoito e oitocentos reais) por unidade excedente.</w:t>
      </w:r>
    </w:p>
    <w:p w:rsidR="007E562F" w:rsidRDefault="009941CF">
      <w:pPr>
        <w:numPr>
          <w:ilvl w:val="0"/>
          <w:numId w:val="19"/>
        </w:numPr>
        <w:ind w:right="9"/>
      </w:pPr>
      <w:r>
        <w:t>– Edificações enquadradas nas categorias de usoresidencial, comercial ou misto que não atendam</w:t>
      </w:r>
      <w:r>
        <w:t xml:space="preserve"> ao disposto no inciso X e XI do art. 1º desta Lei Complementar deverão recolher multa no valor de R$ 11.200,00 (onze mil e duzentos reais) por vaga de estacionamento insuficiente ou inexistente, considerandose para fins de cálculo a diferença entre o núme</w:t>
      </w:r>
      <w:r>
        <w:t>ro exigido na Lei do Uso da Ocupação do Solo e o número de unidades habitacionais ou comerciais existentes.</w:t>
      </w:r>
    </w:p>
    <w:p w:rsidR="007E562F" w:rsidRDefault="009941CF">
      <w:pPr>
        <w:numPr>
          <w:ilvl w:val="0"/>
          <w:numId w:val="19"/>
        </w:numPr>
        <w:ind w:right="9"/>
      </w:pPr>
      <w:r>
        <w:t xml:space="preserve">- Para edificações cujo uso esteja enquadrado comopermissível, conforme a lei que disciplina o ordenamento do uso, da ocupação e do parcelamento do </w:t>
      </w:r>
      <w:r>
        <w:t>solo, situadas em vias locais, será aplicada multa no valor de R$ 18.800,00 (dezoito mil e oitocentos reais). Parágrafo único. As multas previstas nos incisos deste artigo não se aplicam aos imóveis constituídos por pavimento térreo ou por mais de um pavim</w:t>
      </w:r>
      <w:r>
        <w:t>ento que contenham, no máximo, cinco unidades autônomas, excetuando-se as edificações destinadas exclusivamente ao uso comercial com área superior a 50,00m². Art. 19 Para fins de recolhimento, o interessado poderá: I – parcelar o valor total apurado em até</w:t>
      </w:r>
      <w:r>
        <w:t xml:space="preserve"> 36 (trinta e seis) vezes consecutivas, com atualização monetária e sem aplicação do disposto no art. 20 desta Lei Complementar. II - O Imposto Sobre Serviços de Qualquer Natureza</w:t>
      </w:r>
    </w:p>
    <w:p w:rsidR="007E562F" w:rsidRDefault="009941CF">
      <w:pPr>
        <w:ind w:left="-5" w:right="9"/>
      </w:pPr>
      <w:r>
        <w:t>(ISSQN), quando incidente, será emitido pela Secretaria</w:t>
      </w:r>
    </w:p>
    <w:p w:rsidR="007E562F" w:rsidRDefault="009941CF">
      <w:pPr>
        <w:ind w:left="-5" w:right="9"/>
      </w:pPr>
      <w:r>
        <w:t>Municipal de Finanças e poderá ser parcelado em até 24 (vinte e quatro) vezes consecutivas, com atualização monetária, conforme legislação vigente.</w:t>
      </w:r>
    </w:p>
    <w:p w:rsidR="007E562F" w:rsidRDefault="009941CF">
      <w:pPr>
        <w:ind w:left="-5" w:right="9"/>
      </w:pPr>
      <w:r>
        <w:t>III – A interrupção do pagamento das parcelas acarretará a inscrição do débito em Dívida Ativa.</w:t>
      </w:r>
    </w:p>
    <w:p w:rsidR="007E562F" w:rsidRDefault="009941CF">
      <w:pPr>
        <w:ind w:left="-5" w:right="105"/>
      </w:pPr>
      <w:r>
        <w:t>Parágrafo ún</w:t>
      </w:r>
      <w:r>
        <w:t>ico. Fica condicionada a emissão dos Alvarás correspondentes a esta Lei Complementar a comprovação da quitação das taxas e multas.</w:t>
      </w:r>
    </w:p>
    <w:p w:rsidR="007E562F" w:rsidRDefault="009941CF">
      <w:pPr>
        <w:ind w:left="-5" w:right="9"/>
      </w:pPr>
      <w:r>
        <w:t>Art. 20 Será concedido desconto sobre o valor total das taxas e multas municipais, nos seguintes termos:</w:t>
      </w:r>
    </w:p>
    <w:p w:rsidR="007E562F" w:rsidRDefault="009941CF">
      <w:pPr>
        <w:numPr>
          <w:ilvl w:val="0"/>
          <w:numId w:val="20"/>
        </w:numPr>
        <w:ind w:right="105"/>
      </w:pPr>
      <w:r>
        <w:t>– desconto de 30% (t</w:t>
      </w:r>
      <w:r>
        <w:t>rinta por cento) para os contribuintesque efetuarem o pagamento à vista, na data do vencimento constante da cobrança emitida pela Administração Municipal, desde que o requerimento seja formalizado no prazo de até 60 (sessenta) dias corridos, contados da da</w:t>
      </w:r>
      <w:r>
        <w:t>ta de publicação desta Lei Complementar;</w:t>
      </w:r>
    </w:p>
    <w:p w:rsidR="007E562F" w:rsidRDefault="009941CF">
      <w:pPr>
        <w:numPr>
          <w:ilvl w:val="0"/>
          <w:numId w:val="20"/>
        </w:numPr>
        <w:ind w:right="105"/>
      </w:pPr>
      <w:r>
        <w:t>– desconto de 15% (quinze por cento) para oscontribuintes que efetuarem o pagamento à vista, na data do vencimento constante da cobrança emitida pela Administração Municipal, desde que o requerimento seja formalizad</w:t>
      </w:r>
      <w:r>
        <w:t>o entre o 61º (sexagésimo primeiro) e o 90º (nonagésimo) dia corrido, contados da data de publicação desta Lei Complementar;</w:t>
      </w:r>
    </w:p>
    <w:p w:rsidR="007E562F" w:rsidRDefault="009941CF">
      <w:pPr>
        <w:numPr>
          <w:ilvl w:val="0"/>
          <w:numId w:val="20"/>
        </w:numPr>
        <w:ind w:right="105"/>
      </w:pPr>
      <w:r>
        <w:t>– desconto de 5% (cinco por cento) para oscontribuintes que efetuarem o pagamento à vista, na data do vencimento constante da cobra</w:t>
      </w:r>
      <w:r>
        <w:t>nça emitida pela Administração Municipal, desde que o requerimento seja formalizado entre o 91º (nonagésimo primeiro) e o 120º (centésimo vigésimo) dia corrido, contados da data de publicação desta Lei Complementar.</w:t>
      </w:r>
    </w:p>
    <w:p w:rsidR="007E562F" w:rsidRDefault="009941CF">
      <w:pPr>
        <w:ind w:left="-5" w:right="105"/>
      </w:pPr>
      <w:r>
        <w:t xml:space="preserve">Parágrafo único. Os descontos previstos </w:t>
      </w:r>
      <w:r>
        <w:t>neste artigo não serão aplicáveis aos valores apurados em decorrência de divergência entre a área declarada pelo contribuinte e aquela efetivamente constatada pela Administração Municipal, hipótese em que será emitida cobrança complementar, ainda que dentr</w:t>
      </w:r>
      <w:r>
        <w:t>o do prazo estabelecido.</w:t>
      </w:r>
    </w:p>
    <w:p w:rsidR="007E562F" w:rsidRDefault="009941CF">
      <w:pPr>
        <w:ind w:left="-5" w:right="9"/>
      </w:pPr>
      <w:r>
        <w:t>CAPÍTULO VIII</w:t>
      </w:r>
    </w:p>
    <w:p w:rsidR="007E562F" w:rsidRDefault="009941CF">
      <w:pPr>
        <w:ind w:left="-5" w:right="9"/>
      </w:pPr>
      <w:r>
        <w:t>DAS EDIFICAÇÕES EM TERRENOS OBJETOS DE</w:t>
      </w:r>
    </w:p>
    <w:p w:rsidR="007E562F" w:rsidRDefault="009941CF">
      <w:pPr>
        <w:ind w:left="-5" w:right="9"/>
      </w:pPr>
      <w:r>
        <w:t>REGULARIZAÇÃO FUNDIÁRIA DE INTERESSE</w:t>
      </w:r>
    </w:p>
    <w:p w:rsidR="007E562F" w:rsidRDefault="009941CF">
      <w:pPr>
        <w:ind w:left="-5" w:right="9"/>
      </w:pPr>
      <w:r>
        <w:t>SOCIAL</w:t>
      </w:r>
    </w:p>
    <w:tbl>
      <w:tblPr>
        <w:tblStyle w:val="TableGrid"/>
        <w:tblpPr w:vertAnchor="text" w:horzAnchor="margin"/>
        <w:tblOverlap w:val="never"/>
        <w:tblW w:w="10658" w:type="dxa"/>
        <w:tblInd w:w="0" w:type="dxa"/>
        <w:tblCellMar>
          <w:top w:w="16" w:type="dxa"/>
          <w:left w:w="165" w:type="dxa"/>
          <w:bottom w:w="0" w:type="dxa"/>
          <w:right w:w="0" w:type="dxa"/>
        </w:tblCellMar>
        <w:tblLook w:val="04A0" w:firstRow="1" w:lastRow="0" w:firstColumn="1" w:lastColumn="0" w:noHBand="0" w:noVBand="1"/>
      </w:tblPr>
      <w:tblGrid>
        <w:gridCol w:w="10658"/>
      </w:tblGrid>
      <w:tr w:rsidR="007E562F">
        <w:trPr>
          <w:trHeight w:val="169"/>
        </w:trPr>
        <w:tc>
          <w:tcPr>
            <w:tcW w:w="10501" w:type="dxa"/>
            <w:tcBorders>
              <w:top w:val="nil"/>
              <w:left w:val="nil"/>
              <w:bottom w:val="nil"/>
              <w:right w:val="nil"/>
            </w:tcBorders>
          </w:tcPr>
          <w:p w:rsidR="007E562F" w:rsidRDefault="009941CF">
            <w:pPr>
              <w:tabs>
                <w:tab w:val="right" w:pos="10493"/>
              </w:tabs>
              <w:spacing w:after="0" w:line="259" w:lineRule="auto"/>
              <w:ind w:left="0" w:right="-7" w:firstLine="0"/>
              <w:jc w:val="left"/>
            </w:pPr>
            <w:r>
              <w:rPr>
                <w:rFonts w:ascii="Arial" w:eastAsia="Arial" w:hAnsi="Arial" w:cs="Arial"/>
                <w:b/>
                <w:color w:val="FFFFFF"/>
                <w:sz w:val="16"/>
              </w:rPr>
              <w:t>Ano I | Edição nº 199 | 03/10/2025</w:t>
            </w:r>
            <w:r>
              <w:rPr>
                <w:rFonts w:ascii="Arial" w:eastAsia="Arial" w:hAnsi="Arial" w:cs="Arial"/>
                <w:b/>
                <w:color w:val="FFFFFF"/>
                <w:sz w:val="16"/>
              </w:rPr>
              <w:tab/>
              <w:t>WWW.PRAIAGRANDE.SP.GOV.BR</w:t>
            </w:r>
          </w:p>
        </w:tc>
      </w:tr>
    </w:tbl>
    <w:p w:rsidR="007E562F" w:rsidRDefault="009941CF">
      <w:pPr>
        <w:ind w:left="-5" w:right="9"/>
      </w:pPr>
      <w:r>
        <w:t xml:space="preserve">Art. 21 Fica autorizada a regularização de obras edificadas em terrenos </w:t>
      </w:r>
      <w:r>
        <w:t xml:space="preserve">objeto de regularização fundiária de interesse social promovida pela Municipalidade, concluídas, executadas sem a aprovação legal, inclusive as que: I – Apresentem inobservância a recuos, taxa de ocupação, coeficiente de aproveitamento e demais requisitos </w:t>
      </w:r>
      <w:r>
        <w:t>urbanísticos, ressalvadas as dimensões mínimas do terreno, desde que estas dimensões estejam previamente registradas no Cartório de Registro de Imóveis;</w:t>
      </w:r>
    </w:p>
    <w:p w:rsidR="007E562F" w:rsidRDefault="009941CF">
      <w:pPr>
        <w:ind w:left="-5" w:right="9"/>
      </w:pPr>
      <w:r>
        <w:t>II - possuam vãos de iluminação e ventilação com distância inferior a 1,50m da divisa e nos casos de janelas cuja visão não incida sobre a linha divisória, bem como as perpendiculares, a menos de 0,75m (setenta e cinco centímetros), desde que haja anuência</w:t>
      </w:r>
      <w:r>
        <w:t xml:space="preserve"> expressa do vizinho; III - apresentem projeção de elementos construtivos sobre o passeio público, até o limite de 0,80m, mediante termo de isenção de ônus ao Município;</w:t>
      </w:r>
    </w:p>
    <w:p w:rsidR="007E562F" w:rsidRDefault="009941CF">
      <w:pPr>
        <w:ind w:left="-5" w:right="80"/>
      </w:pPr>
      <w:r>
        <w:t>§ 1º Não poderão ser beneficiadas por este Capítulo as edificações construídas em área</w:t>
      </w:r>
      <w:r>
        <w:t>s não provenientes de regularização fundiária, em lote objeto de parcelamento irregular, em obras ainda em andamento (ressalvadas as adaptações para acessibilidade), em áreas públicas ou em cortiços.</w:t>
      </w:r>
    </w:p>
    <w:p w:rsidR="007E562F" w:rsidRDefault="009941CF">
      <w:pPr>
        <w:ind w:left="-5" w:right="80"/>
      </w:pPr>
      <w:r>
        <w:t xml:space="preserve">§ 2º No caso de múltiplas edificações em um mesmo lote, </w:t>
      </w:r>
      <w:r>
        <w:t>a regularização será coletiva, não sendo admitida a legalização individual de unidades autônomas. Art. 22 A regularização de que trata este Capítulo adotará as seguintes modalidades:</w:t>
      </w:r>
    </w:p>
    <w:p w:rsidR="007E562F" w:rsidRDefault="009941CF">
      <w:pPr>
        <w:numPr>
          <w:ilvl w:val="0"/>
          <w:numId w:val="21"/>
        </w:numPr>
        <w:ind w:right="9"/>
      </w:pPr>
      <w:r>
        <w:t>– Automática: para edificações térreas unifamiliares, emalvenaria, com at</w:t>
      </w:r>
      <w:r>
        <w:t>é 100m²;</w:t>
      </w:r>
    </w:p>
    <w:p w:rsidR="007E562F" w:rsidRDefault="009941CF">
      <w:pPr>
        <w:numPr>
          <w:ilvl w:val="0"/>
          <w:numId w:val="21"/>
        </w:numPr>
        <w:ind w:right="9"/>
      </w:pPr>
      <w:r>
        <w:t>– Simplificada: para edificações residenciais ou de usomisto, maiores que 100,00m² e 500m²;</w:t>
      </w:r>
    </w:p>
    <w:p w:rsidR="007E562F" w:rsidRDefault="009941CF">
      <w:pPr>
        <w:numPr>
          <w:ilvl w:val="0"/>
          <w:numId w:val="21"/>
        </w:numPr>
        <w:ind w:right="9"/>
      </w:pPr>
      <w:r>
        <w:t>– Completa: para edificações residenciais ou de usomisto, com área superior a 500m².</w:t>
      </w:r>
    </w:p>
    <w:p w:rsidR="007E562F" w:rsidRDefault="009941CF">
      <w:pPr>
        <w:ind w:left="-5" w:right="80"/>
      </w:pPr>
      <w:r>
        <w:t>Art. 23 Para a regularização automática o proprietário e o possuidor deverão instruir o requerimento digital com os seguintes documentos:</w:t>
      </w:r>
    </w:p>
    <w:p w:rsidR="007E562F" w:rsidRDefault="009941CF">
      <w:pPr>
        <w:numPr>
          <w:ilvl w:val="0"/>
          <w:numId w:val="22"/>
        </w:numPr>
        <w:ind w:right="57"/>
      </w:pPr>
      <w:r>
        <w:t>- Declaração preenchida e assinada pelo proprietário oupossuidor;</w:t>
      </w:r>
    </w:p>
    <w:p w:rsidR="007E562F" w:rsidRDefault="009941CF">
      <w:pPr>
        <w:numPr>
          <w:ilvl w:val="0"/>
          <w:numId w:val="22"/>
        </w:numPr>
        <w:ind w:right="57"/>
      </w:pPr>
      <w:r>
        <w:t>- Cadastro da Pessoa Física - CPF ou Cadastro Nacion</w:t>
      </w:r>
      <w:r>
        <w:t>alda Pessoa Jurídica - CNPJ, Carteira Nacional de Habilitação (CNH) e ou da Carteira de Identidade, com o número do Registro Geral - RG do proprietário ou do possuidor; III - Cartão da USAFA;</w:t>
      </w:r>
    </w:p>
    <w:p w:rsidR="007E562F" w:rsidRDefault="009941CF">
      <w:pPr>
        <w:numPr>
          <w:ilvl w:val="0"/>
          <w:numId w:val="23"/>
        </w:numPr>
        <w:ind w:right="9" w:hanging="224"/>
      </w:pPr>
      <w:r>
        <w:t>- Documentação comprobatória de existência daedificação;</w:t>
      </w:r>
    </w:p>
    <w:p w:rsidR="007E562F" w:rsidRDefault="009941CF">
      <w:pPr>
        <w:numPr>
          <w:ilvl w:val="0"/>
          <w:numId w:val="23"/>
        </w:numPr>
        <w:ind w:right="9" w:hanging="224"/>
      </w:pPr>
      <w:r>
        <w:t>– Matrí</w:t>
      </w:r>
      <w:r>
        <w:t>cula do imóvel atualizada, no prazo máximo de</w:t>
      </w:r>
    </w:p>
    <w:p w:rsidR="007E562F" w:rsidRDefault="009941CF">
      <w:pPr>
        <w:ind w:left="-5" w:right="9"/>
      </w:pPr>
      <w:r>
        <w:t>90 (noventa) dias expedida pelo Cartório de Registro de</w:t>
      </w:r>
    </w:p>
    <w:p w:rsidR="007E562F" w:rsidRDefault="009941CF">
      <w:pPr>
        <w:ind w:left="-5" w:right="105"/>
      </w:pPr>
      <w:r>
        <w:t>Imóveis, contendo as características do imóvel; VI - caso seja o possuidor o requerente, deverá apresentar um dos seguintes documentos:</w:t>
      </w:r>
    </w:p>
    <w:p w:rsidR="007E562F" w:rsidRDefault="009941CF">
      <w:pPr>
        <w:numPr>
          <w:ilvl w:val="0"/>
          <w:numId w:val="24"/>
        </w:numPr>
        <w:ind w:right="105"/>
      </w:pPr>
      <w:r>
        <w:t>Instrumento de com</w:t>
      </w:r>
      <w:r>
        <w:t>promisso de compra e venda ou decessão, devidamente registrado no Cartório de Registro de Imóveis de Praia Grande; quando não registrado, a parte deverá comprovar o encadeamento das transmissões</w:t>
      </w:r>
    </w:p>
    <w:p w:rsidR="007E562F" w:rsidRDefault="009941CF">
      <w:pPr>
        <w:ind w:left="-5" w:right="9"/>
      </w:pPr>
      <w:r>
        <w:t>anteriores a partir do titular do domínio;</w:t>
      </w:r>
    </w:p>
    <w:p w:rsidR="007E562F" w:rsidRDefault="009941CF">
      <w:pPr>
        <w:numPr>
          <w:ilvl w:val="0"/>
          <w:numId w:val="24"/>
        </w:numPr>
        <w:ind w:right="105"/>
      </w:pPr>
      <w:r>
        <w:t>Contrato represent</w:t>
      </w:r>
      <w:r>
        <w:t>ativo da relação obrigacional, ourelação de direito existente entre o proprietário e o possuidor direto;</w:t>
      </w:r>
    </w:p>
    <w:p w:rsidR="007E562F" w:rsidRDefault="009941CF">
      <w:pPr>
        <w:numPr>
          <w:ilvl w:val="0"/>
          <w:numId w:val="24"/>
        </w:numPr>
        <w:ind w:right="105"/>
      </w:pPr>
      <w:r>
        <w:t>Matrícula do imóvel contendo as características doimóvel, quando o requerente possuir escritura definitiva sem registro.</w:t>
      </w:r>
    </w:p>
    <w:p w:rsidR="007E562F" w:rsidRDefault="009941CF">
      <w:pPr>
        <w:numPr>
          <w:ilvl w:val="0"/>
          <w:numId w:val="25"/>
        </w:numPr>
        <w:ind w:right="57" w:hanging="360"/>
      </w:pPr>
      <w:r>
        <w:t>- Termo de Anuência da Vizinha</w:t>
      </w:r>
      <w:r>
        <w:t>nça;</w:t>
      </w:r>
    </w:p>
    <w:p w:rsidR="007E562F" w:rsidRDefault="009941CF">
      <w:pPr>
        <w:numPr>
          <w:ilvl w:val="0"/>
          <w:numId w:val="25"/>
        </w:numPr>
        <w:ind w:right="57" w:hanging="360"/>
      </w:pPr>
      <w:r>
        <w:t>- Termo de Compromisso para ocupação de recuoaéreo frontal com isenção de ônus ao Município; IX – Apresentação de Declaração dos proprietários de imóveis distintos;</w:t>
      </w:r>
    </w:p>
    <w:p w:rsidR="007E562F" w:rsidRDefault="009941CF">
      <w:pPr>
        <w:ind w:left="-5" w:right="9"/>
      </w:pPr>
      <w:r>
        <w:t>X - Declaração de que executou a obra com mão-de-obra própria ou por regime de mutirão</w:t>
      </w:r>
      <w:r>
        <w:t>.</w:t>
      </w:r>
    </w:p>
    <w:tbl>
      <w:tblPr>
        <w:tblStyle w:val="TableGrid"/>
        <w:tblpPr w:vertAnchor="text" w:horzAnchor="margin" w:tblpY="1518"/>
        <w:tblOverlap w:val="never"/>
        <w:tblW w:w="10739" w:type="dxa"/>
        <w:tblInd w:w="0" w:type="dxa"/>
        <w:tblCellMar>
          <w:top w:w="16" w:type="dxa"/>
          <w:left w:w="165" w:type="dxa"/>
          <w:bottom w:w="0" w:type="dxa"/>
          <w:right w:w="74" w:type="dxa"/>
        </w:tblCellMar>
        <w:tblLook w:val="04A0" w:firstRow="1" w:lastRow="0" w:firstColumn="1" w:lastColumn="0" w:noHBand="0" w:noVBand="1"/>
      </w:tblPr>
      <w:tblGrid>
        <w:gridCol w:w="10739"/>
      </w:tblGrid>
      <w:tr w:rsidR="007E562F">
        <w:trPr>
          <w:trHeight w:val="169"/>
        </w:trPr>
        <w:tc>
          <w:tcPr>
            <w:tcW w:w="10501" w:type="dxa"/>
            <w:tcBorders>
              <w:top w:val="nil"/>
              <w:left w:val="nil"/>
              <w:bottom w:val="nil"/>
              <w:right w:val="nil"/>
            </w:tcBorders>
          </w:tcPr>
          <w:p w:rsidR="007E562F" w:rsidRDefault="009941CF">
            <w:pPr>
              <w:tabs>
                <w:tab w:val="right" w:pos="10501"/>
              </w:tabs>
              <w:spacing w:after="0" w:line="259" w:lineRule="auto"/>
              <w:ind w:left="0" w:firstLine="0"/>
              <w:jc w:val="left"/>
            </w:pPr>
            <w:r>
              <w:rPr>
                <w:rFonts w:ascii="Arial" w:eastAsia="Arial" w:hAnsi="Arial" w:cs="Arial"/>
                <w:b/>
                <w:color w:val="FFFFFF"/>
                <w:sz w:val="16"/>
              </w:rPr>
              <w:t>Ano I | Edição nº 199 | 03/10/2025</w:t>
            </w:r>
            <w:r>
              <w:rPr>
                <w:rFonts w:ascii="Arial" w:eastAsia="Arial" w:hAnsi="Arial" w:cs="Arial"/>
                <w:b/>
                <w:color w:val="FFFFFF"/>
                <w:sz w:val="16"/>
              </w:rPr>
              <w:tab/>
              <w:t>WWW.PRAIAGRANDE.SP.GOV.BR</w:t>
            </w:r>
          </w:p>
        </w:tc>
      </w:tr>
    </w:tbl>
    <w:p w:rsidR="007E562F" w:rsidRDefault="009941CF">
      <w:pPr>
        <w:ind w:left="-5" w:right="105"/>
      </w:pPr>
      <w:r>
        <w:t>§ 1° Mediante a verificação da documentação mencionada nos incisos I a X deste artigo, baseado nas informações apresentadas no requerimento pelo proprietário ou possuidor, o processo administrativo será encaminhado à Secretaria de Finanças para expedição d</w:t>
      </w:r>
      <w:r>
        <w:t>e Certidão de Existência de Edificação nos Cadastros Municipais para fins de averbação da edificação no Cartório de Registro de Imóveis, nos termos da Lei Federal 13.865, de 08 de agosto de 2019.</w:t>
      </w:r>
    </w:p>
    <w:p w:rsidR="007E562F" w:rsidRDefault="009941CF">
      <w:pPr>
        <w:ind w:left="-5" w:right="9"/>
      </w:pPr>
      <w:r>
        <w:t xml:space="preserve">§ 2° Para fins de lançamento de Imposto Predial Territorial </w:t>
      </w:r>
      <w:r>
        <w:t>Urbano, será considerada a data do requerimento como a data de conclusão da obra.</w:t>
      </w:r>
    </w:p>
    <w:p w:rsidR="007E562F" w:rsidRDefault="009941CF">
      <w:pPr>
        <w:ind w:left="-5" w:right="9"/>
      </w:pPr>
      <w:r>
        <w:t xml:space="preserve">Art. 24 Para a regularização simplificada, além dos documentos elencados no artigo 22, o proprietário e/ou possuidor deverá apresentar os documentos a seguir: I - Declaração </w:t>
      </w:r>
      <w:r>
        <w:t>preenchida e assinada pelo proprietário ou possuidor e profissional técnico habilitado;</w:t>
      </w:r>
    </w:p>
    <w:p w:rsidR="007E562F" w:rsidRDefault="009941CF">
      <w:pPr>
        <w:ind w:left="-5" w:right="9"/>
      </w:pPr>
      <w:r>
        <w:t xml:space="preserve">II - Anotação de Responsabilidade Técnica - ART ou Registro de Responsabilidade Técnica - RRT, com o seu comprovante de pagamento, assinado por profissional legalmente </w:t>
      </w:r>
      <w:r>
        <w:t>habilitado e proprietários ou Procurador; III - croqui de implantação da edificação;</w:t>
      </w:r>
    </w:p>
    <w:p w:rsidR="007E562F" w:rsidRDefault="009941CF">
      <w:pPr>
        <w:ind w:left="-5" w:right="9"/>
      </w:pPr>
      <w:r>
        <w:t>IV - Certificado de Licenciamento do Corpo de Bombeiros</w:t>
      </w:r>
    </w:p>
    <w:p w:rsidR="007E562F" w:rsidRDefault="009941CF">
      <w:pPr>
        <w:ind w:left="-5" w:right="9"/>
      </w:pPr>
      <w:r>
        <w:t>- CLCB ou Auto de Vistoria do Corpo de Bombeiros AVCB para a edificação com uso misto para os casos exigidos pela l</w:t>
      </w:r>
      <w:r>
        <w:t>egislação vigente específica do órgão competente.</w:t>
      </w:r>
    </w:p>
    <w:p w:rsidR="007E562F" w:rsidRDefault="009941CF">
      <w:pPr>
        <w:numPr>
          <w:ilvl w:val="0"/>
          <w:numId w:val="26"/>
        </w:numPr>
        <w:ind w:right="9" w:hanging="214"/>
      </w:pPr>
      <w:r>
        <w:t>- Cálculo de áreas para lançamento;</w:t>
      </w:r>
    </w:p>
    <w:p w:rsidR="007E562F" w:rsidRDefault="009941CF">
      <w:pPr>
        <w:numPr>
          <w:ilvl w:val="0"/>
          <w:numId w:val="26"/>
        </w:numPr>
        <w:ind w:right="9" w:hanging="214"/>
      </w:pPr>
      <w:r>
        <w:t>- Alvará de funcionamento de elevadores e/ouplataformas e/ou escadas rolantes e/ou monta cargas ou quaisquer outros equipamentos mecânicos de transporte; VII - Memorial d</w:t>
      </w:r>
      <w:r>
        <w:t>e execução de afastamento do esgoto, nos termos da NBR 17076:2024 ou documento comprovando a ligação de esgoto para o imóvel;</w:t>
      </w:r>
    </w:p>
    <w:p w:rsidR="007E562F" w:rsidRDefault="009941CF">
      <w:pPr>
        <w:ind w:left="-5" w:right="9"/>
      </w:pPr>
      <w:r>
        <w:t xml:space="preserve">§ 1° Mediante a verificação da documentação mencionada nos artigos 22 e 23 desta Lei Complementar, o processo administrativo será </w:t>
      </w:r>
      <w:r>
        <w:t>encaminhado à Secretaria de Urbanismo - SEURB, para análise técnica da documentação e expedição do competente alvará de regularização, para fins de atestar a regularidade do imóvel.</w:t>
      </w:r>
    </w:p>
    <w:p w:rsidR="007E562F" w:rsidRDefault="009941CF">
      <w:pPr>
        <w:ind w:left="-5" w:right="9"/>
      </w:pPr>
      <w:r>
        <w:t>§ 2° O alvará de regularização possui fins registrais, sendo de inteira re</w:t>
      </w:r>
      <w:r>
        <w:t>sponsabilidade do proprietário ou possuidor e de seu profissional, as condições de segurança, estabilidade, acessibilidade, habitabilidade e salubridade do imóvel.</w:t>
      </w:r>
    </w:p>
    <w:p w:rsidR="007E562F" w:rsidRDefault="009941CF">
      <w:pPr>
        <w:ind w:left="-5" w:right="105"/>
      </w:pPr>
      <w:r>
        <w:t>§ 3° Poderá ser realizada vistoria de constatação das edificações nos imóveis e, caso verifi</w:t>
      </w:r>
      <w:r>
        <w:t>cado que a declaração prestada não condiz com a realidade, os documentos emitidos perderão a sua eficácia.</w:t>
      </w:r>
    </w:p>
    <w:p w:rsidR="007E562F" w:rsidRDefault="009941CF">
      <w:pPr>
        <w:ind w:left="-5" w:right="105"/>
      </w:pPr>
      <w:r>
        <w:t>Art. 25 Para a regularização completa, além dos documentos elencados no artigo 22 e artigo 23 desta Lei Complementar, o proprietário e/ou possuidor d</w:t>
      </w:r>
      <w:r>
        <w:t>everá apresentar os documentos a seguir:</w:t>
      </w:r>
    </w:p>
    <w:p w:rsidR="007E562F" w:rsidRDefault="009941CF">
      <w:pPr>
        <w:numPr>
          <w:ilvl w:val="0"/>
          <w:numId w:val="27"/>
        </w:numPr>
        <w:ind w:right="9"/>
      </w:pPr>
      <w:r>
        <w:t>- Requerimento específico, devidamente preenchido eassinado pelo proprietário do imóvel;</w:t>
      </w:r>
    </w:p>
    <w:p w:rsidR="007E562F" w:rsidRDefault="009941CF">
      <w:pPr>
        <w:numPr>
          <w:ilvl w:val="0"/>
          <w:numId w:val="27"/>
        </w:numPr>
        <w:ind w:right="9"/>
      </w:pPr>
      <w:r>
        <w:t>- Declaração de regularização completa preenchida eassinada pelo proprietário e profissional técnico habilitado; III - projeto arquitetônico completo da edificação existente a regularizar, indicando as áreas de compartimentos, finalidades de uso, com apres</w:t>
      </w:r>
      <w:r>
        <w:t>entação da legenda em 03</w:t>
      </w:r>
    </w:p>
    <w:p w:rsidR="007E562F" w:rsidRDefault="009941CF">
      <w:pPr>
        <w:ind w:left="-5" w:right="9"/>
      </w:pPr>
      <w:r>
        <w:t>(três) vias reprográficas;</w:t>
      </w:r>
    </w:p>
    <w:p w:rsidR="007E562F" w:rsidRDefault="009941CF">
      <w:pPr>
        <w:numPr>
          <w:ilvl w:val="0"/>
          <w:numId w:val="28"/>
        </w:numPr>
        <w:ind w:right="57"/>
      </w:pPr>
      <w:r>
        <w:t>- Termo de responsabilidade pela estabilidade daestrutura, instalação, sistema de esgoto, higiene e habitabilidade em 03 (três) vias, assinados por profissional habilitado;</w:t>
      </w:r>
    </w:p>
    <w:p w:rsidR="007E562F" w:rsidRDefault="009941CF">
      <w:pPr>
        <w:numPr>
          <w:ilvl w:val="0"/>
          <w:numId w:val="28"/>
        </w:numPr>
        <w:ind w:right="57"/>
      </w:pPr>
      <w:r>
        <w:t xml:space="preserve">- Anotação de Responsabilidade </w:t>
      </w:r>
      <w:r>
        <w:t>Técnica ou Registro deResponsabilidade Técnica - ART/RRT, do projeto arquitetônico e dos projetos complementares de estrutura, hidráulica, elétrica, telefonia e renovação de ar ou outras que a autoridade Municipal julgar necessárias ou laudos técnicos corr</w:t>
      </w:r>
      <w:r>
        <w:t>espondentes acompanhados das respectivas ART/RRT, com o seu comprovante de pagamento, assinado por profissional legalmente habilitado e proprietários ou Procurador;</w:t>
      </w:r>
    </w:p>
    <w:p w:rsidR="007E562F" w:rsidRDefault="009941CF">
      <w:pPr>
        <w:numPr>
          <w:ilvl w:val="0"/>
          <w:numId w:val="28"/>
        </w:numPr>
        <w:ind w:right="57"/>
      </w:pPr>
      <w:r>
        <w:t>- em casos específicos, outros documentos exigidospela legislação municipal, estadual e fed</w:t>
      </w:r>
      <w:r>
        <w:t>eral;</w:t>
      </w:r>
    </w:p>
    <w:p w:rsidR="007E562F" w:rsidRDefault="009941CF">
      <w:pPr>
        <w:numPr>
          <w:ilvl w:val="0"/>
          <w:numId w:val="28"/>
        </w:numPr>
        <w:ind w:right="57"/>
      </w:pPr>
      <w:r>
        <w:t>- Certificado de licença ou Auto de Vistoria do Corpode Bombeiros nos casos exigidos pela legislação vigente</w:t>
      </w:r>
    </w:p>
    <w:tbl>
      <w:tblPr>
        <w:tblStyle w:val="TableGrid"/>
        <w:tblpPr w:vertAnchor="text" w:horzAnchor="margin"/>
        <w:tblOverlap w:val="never"/>
        <w:tblW w:w="10658" w:type="dxa"/>
        <w:tblInd w:w="0" w:type="dxa"/>
        <w:tblCellMar>
          <w:top w:w="16" w:type="dxa"/>
          <w:left w:w="165" w:type="dxa"/>
          <w:bottom w:w="0" w:type="dxa"/>
          <w:right w:w="0" w:type="dxa"/>
        </w:tblCellMar>
        <w:tblLook w:val="04A0" w:firstRow="1" w:lastRow="0" w:firstColumn="1" w:lastColumn="0" w:noHBand="0" w:noVBand="1"/>
      </w:tblPr>
      <w:tblGrid>
        <w:gridCol w:w="10658"/>
      </w:tblGrid>
      <w:tr w:rsidR="007E562F">
        <w:trPr>
          <w:trHeight w:val="169"/>
        </w:trPr>
        <w:tc>
          <w:tcPr>
            <w:tcW w:w="10501" w:type="dxa"/>
            <w:tcBorders>
              <w:top w:val="nil"/>
              <w:left w:val="nil"/>
              <w:bottom w:val="nil"/>
              <w:right w:val="nil"/>
            </w:tcBorders>
          </w:tcPr>
          <w:p w:rsidR="007E562F" w:rsidRDefault="009941CF">
            <w:pPr>
              <w:tabs>
                <w:tab w:val="right" w:pos="10493"/>
              </w:tabs>
              <w:spacing w:after="0" w:line="259" w:lineRule="auto"/>
              <w:ind w:left="0" w:right="-7" w:firstLine="0"/>
              <w:jc w:val="left"/>
            </w:pPr>
            <w:r>
              <w:rPr>
                <w:rFonts w:ascii="Arial" w:eastAsia="Arial" w:hAnsi="Arial" w:cs="Arial"/>
                <w:b/>
                <w:color w:val="FFFFFF"/>
                <w:sz w:val="16"/>
              </w:rPr>
              <w:t>Ano I | Edição nº 199 | 03/10/2025</w:t>
            </w:r>
            <w:r>
              <w:rPr>
                <w:rFonts w:ascii="Arial" w:eastAsia="Arial" w:hAnsi="Arial" w:cs="Arial"/>
                <w:b/>
                <w:color w:val="FFFFFF"/>
                <w:sz w:val="16"/>
              </w:rPr>
              <w:tab/>
              <w:t>WWW.PRAIAGRANDE.SP.GOV.BR</w:t>
            </w:r>
          </w:p>
        </w:tc>
      </w:tr>
    </w:tbl>
    <w:p w:rsidR="007E562F" w:rsidRDefault="009941CF">
      <w:pPr>
        <w:ind w:left="-5" w:right="9"/>
      </w:pPr>
      <w:r>
        <w:t>específica do órgão competente.</w:t>
      </w:r>
    </w:p>
    <w:p w:rsidR="007E562F" w:rsidRDefault="009941CF">
      <w:pPr>
        <w:ind w:left="-5" w:right="9"/>
      </w:pPr>
      <w:r>
        <w:t>Parágrafo único. Mediante a verificação da docu</w:t>
      </w:r>
      <w:r>
        <w:t>mentação, o processo administrativo será encaminhado à Secretaria de Urbanismo - SEURB, para análise técnica da documentação, recolhimento de taxas e expedição do competente alvará de regularização, para fins de atestar a regularidade do imóvel.</w:t>
      </w:r>
    </w:p>
    <w:p w:rsidR="007E562F" w:rsidRDefault="009941CF">
      <w:pPr>
        <w:ind w:left="-5" w:right="9"/>
      </w:pPr>
      <w:r>
        <w:t>SEÇÃO I</w:t>
      </w:r>
    </w:p>
    <w:p w:rsidR="007E562F" w:rsidRDefault="009941CF">
      <w:pPr>
        <w:ind w:left="-5" w:right="9"/>
      </w:pPr>
      <w:r>
        <w:t>DA</w:t>
      </w:r>
      <w:r>
        <w:t xml:space="preserve"> EXISTÊNCIA DA CONSTRUÇÃO EM ÁREA DE</w:t>
      </w:r>
    </w:p>
    <w:p w:rsidR="007E562F" w:rsidRDefault="009941CF">
      <w:pPr>
        <w:ind w:left="-5" w:right="9"/>
      </w:pPr>
      <w:r>
        <w:t>REGULARIZAÇÃO FUNDIÁRIA</w:t>
      </w:r>
    </w:p>
    <w:p w:rsidR="007E562F" w:rsidRDefault="009941CF">
      <w:pPr>
        <w:ind w:left="-5" w:right="9"/>
      </w:pPr>
      <w:r>
        <w:t>Art. 26 A comprovação da existência da edificação construída em área de regularização fundiária poderá se dar por meio da apresentação e análise de, ao menos, um dos seguintes documentos:</w:t>
      </w:r>
    </w:p>
    <w:p w:rsidR="007E562F" w:rsidRDefault="009941CF">
      <w:pPr>
        <w:numPr>
          <w:ilvl w:val="0"/>
          <w:numId w:val="29"/>
        </w:numPr>
        <w:ind w:right="9"/>
      </w:pPr>
      <w:r>
        <w:t>– imagem aérea oficial ou levantamento aerofotogramétrico do Município (GEOPG) ou de outro órgão oficial por ele reconhecido, no qual deverá constar referência à data do voo;</w:t>
      </w:r>
    </w:p>
    <w:p w:rsidR="007E562F" w:rsidRDefault="009941CF">
      <w:pPr>
        <w:numPr>
          <w:ilvl w:val="0"/>
          <w:numId w:val="29"/>
        </w:numPr>
        <w:ind w:right="9"/>
      </w:pPr>
      <w:r>
        <w:t>– laudo fotográfico elaborado por profissionalhabilitado, com base em aerofotos o</w:t>
      </w:r>
      <w:r>
        <w:t xml:space="preserve">u imagens de satélite (inclusive Google ou equivalentes), observados os requisitos técnicos da ABNT NBR 13752:1996 e suas alterações, devidamente acompanhado de ART/RRT; III – qualquer documento oficial expedido pela Administração Municipal que comprove a </w:t>
      </w:r>
      <w:r>
        <w:t>área construída, tais como: notificação ou embargo relativo à construção, auto de infração relativo à obra, lançamento tributário ou outro documento equivalente;</w:t>
      </w:r>
    </w:p>
    <w:p w:rsidR="007E562F" w:rsidRDefault="009941CF">
      <w:pPr>
        <w:ind w:left="-5" w:right="9"/>
      </w:pPr>
      <w:r>
        <w:t>IV – outras solicitações ou documentos idôneos que demonstrem a existência da construção, a cr</w:t>
      </w:r>
      <w:r>
        <w:t>itério da Administração Pública, inclusive declarações constantes em processos administrativos anteriores.</w:t>
      </w:r>
    </w:p>
    <w:p w:rsidR="007E562F" w:rsidRDefault="009941CF">
      <w:pPr>
        <w:ind w:left="-5" w:right="9"/>
      </w:pPr>
      <w:r>
        <w:t>Parágrafo único. Excepcionalmente, em atendimento ao relevante interesse social envolvido, serão consideradas as edificações que, na data de início d</w:t>
      </w:r>
      <w:r>
        <w:t>e vigência desta Lei, apresentem paredes erguidas e cobertura executada. Art. 27 Os imóveis abrangidos por este Capítulo serão classificados como de padrão construtivo popular, nos termos do art. 2º da Resolução SEFIN nº 003/2024, ou de norma que a substit</w:t>
      </w:r>
      <w:r>
        <w:t xml:space="preserve">uir, para fins de lançamento tributário. Art. 28 Equipara-se ao proprietário do imóvel, para os fins específico deste Capítulo o possuidor, independentemente do registro no Cartório de Registro de Imóveis, desde que prove através de documentos a qualidade </w:t>
      </w:r>
      <w:r>
        <w:t xml:space="preserve">de possuidor. § 1º Nos pedidos de regularização de edificações situadas em áreas objeto de regularização fundiária de interesse social, protocolados entre 1º de setembro de um exercício e 31 de agosto do exercício seguinte, considerar-se-á, exclusivamente </w:t>
      </w:r>
      <w:r>
        <w:t>para fins de lançamento do Imposto Predial e Territorial Urbano, como data de conclusão da obra o primeiro dia do mês de janeiro do exercício subsequente ao protocolo.</w:t>
      </w:r>
    </w:p>
    <w:p w:rsidR="007E562F" w:rsidRDefault="009941CF">
      <w:pPr>
        <w:ind w:left="-5" w:right="105"/>
      </w:pPr>
      <w:r>
        <w:t>§ 2º Em caráter excepcional, nos procedimentos de regularização automática ou simplifica</w:t>
      </w:r>
      <w:r>
        <w:t>da, a declaração firmada por pessoa física ou jurídica, será admitida como prova da não incidência do Imposto Sobre Serviços de Qualquer Natureza – ISSQN, ficando dispensada a comunicação prévia à Administração Tributária acerca da execução dos serviços po</w:t>
      </w:r>
      <w:r>
        <w:t>r mão de obra própria ou mediante regime de mutirão.</w:t>
      </w:r>
    </w:p>
    <w:p w:rsidR="007E562F" w:rsidRDefault="009941CF">
      <w:pPr>
        <w:ind w:left="-5" w:right="105"/>
      </w:pPr>
      <w:r>
        <w:t>§ 3º Em atenção ao interesse público e ao caráter eminentemente social das disposições deste Capítulo, ficam os seus beneficiários isentos do recolhimento das taxas e das multas previstas nesta Lei Compl</w:t>
      </w:r>
      <w:r>
        <w:t>ementar. Art. 29. As edificações reguladas por este Capítulo fazem jus aos benefícios do artigo 29B da Lei Complementar nº 574, de 17 de novembro de 2010.</w:t>
      </w:r>
    </w:p>
    <w:p w:rsidR="007E562F" w:rsidRDefault="009941CF">
      <w:pPr>
        <w:ind w:left="-5" w:right="9"/>
      </w:pPr>
      <w:r>
        <w:t>CAPÍTULO IX</w:t>
      </w:r>
    </w:p>
    <w:p w:rsidR="007E562F" w:rsidRDefault="009941CF">
      <w:pPr>
        <w:ind w:left="-5" w:right="9"/>
      </w:pPr>
      <w:r>
        <w:t>DAS DISPOSIÇÕES FINAIS</w:t>
      </w:r>
    </w:p>
    <w:p w:rsidR="007E562F" w:rsidRDefault="009941CF">
      <w:pPr>
        <w:ind w:left="-5" w:right="105"/>
      </w:pPr>
      <w:r>
        <w:t>Art. 30 Os proprietários de imóveis com processos administrativos em trâmite na data de publicação desta Lei Complementar poderão ser notificados, a qualquer tempo, para apresentar a documentação necessária à regularização da edificação ou do lote, nos ter</w:t>
      </w:r>
      <w:r>
        <w:t>mos desta Lei</w:t>
      </w:r>
    </w:p>
    <w:tbl>
      <w:tblPr>
        <w:tblStyle w:val="TableGrid"/>
        <w:tblpPr w:vertAnchor="text" w:horzAnchor="margin"/>
        <w:tblOverlap w:val="never"/>
        <w:tblW w:w="10658" w:type="dxa"/>
        <w:tblInd w:w="0" w:type="dxa"/>
        <w:tblCellMar>
          <w:top w:w="16" w:type="dxa"/>
          <w:left w:w="165" w:type="dxa"/>
          <w:bottom w:w="0" w:type="dxa"/>
          <w:right w:w="0" w:type="dxa"/>
        </w:tblCellMar>
        <w:tblLook w:val="04A0" w:firstRow="1" w:lastRow="0" w:firstColumn="1" w:lastColumn="0" w:noHBand="0" w:noVBand="1"/>
      </w:tblPr>
      <w:tblGrid>
        <w:gridCol w:w="10658"/>
      </w:tblGrid>
      <w:tr w:rsidR="007E562F">
        <w:trPr>
          <w:trHeight w:val="169"/>
        </w:trPr>
        <w:tc>
          <w:tcPr>
            <w:tcW w:w="10501" w:type="dxa"/>
            <w:tcBorders>
              <w:top w:val="nil"/>
              <w:left w:val="nil"/>
              <w:bottom w:val="nil"/>
              <w:right w:val="nil"/>
            </w:tcBorders>
          </w:tcPr>
          <w:p w:rsidR="007E562F" w:rsidRDefault="009941CF">
            <w:pPr>
              <w:tabs>
                <w:tab w:val="right" w:pos="10493"/>
              </w:tabs>
              <w:spacing w:after="0" w:line="259" w:lineRule="auto"/>
              <w:ind w:left="0" w:right="-7" w:firstLine="0"/>
              <w:jc w:val="left"/>
            </w:pPr>
            <w:r>
              <w:rPr>
                <w:rFonts w:ascii="Arial" w:eastAsia="Arial" w:hAnsi="Arial" w:cs="Arial"/>
                <w:b/>
                <w:color w:val="FFFFFF"/>
                <w:sz w:val="16"/>
              </w:rPr>
              <w:t>Ano I | Edição nº 199 | 03/10/2025</w:t>
            </w:r>
            <w:r>
              <w:rPr>
                <w:rFonts w:ascii="Arial" w:eastAsia="Arial" w:hAnsi="Arial" w:cs="Arial"/>
                <w:b/>
                <w:color w:val="FFFFFF"/>
                <w:sz w:val="16"/>
              </w:rPr>
              <w:tab/>
              <w:t>WWW.PRAIAGRANDE.SP.GOV.BR</w:t>
            </w:r>
          </w:p>
        </w:tc>
      </w:tr>
    </w:tbl>
    <w:p w:rsidR="007E562F" w:rsidRDefault="009941CF">
      <w:pPr>
        <w:ind w:left="-5" w:right="9"/>
      </w:pPr>
      <w:r>
        <w:t>Complementar.</w:t>
      </w:r>
    </w:p>
    <w:p w:rsidR="007E562F" w:rsidRDefault="009941CF">
      <w:pPr>
        <w:ind w:left="-5" w:right="93"/>
      </w:pPr>
      <w:r>
        <w:t>Art. 31 A aplicação das disposições desta Lei Complementar não implicará, em nenhuma hipótese, a restituição de valores pagos com base em legislações anteriores de re</w:t>
      </w:r>
      <w:r>
        <w:t>gularização edilícia.</w:t>
      </w:r>
    </w:p>
    <w:p w:rsidR="007E562F" w:rsidRDefault="009941CF">
      <w:pPr>
        <w:ind w:left="-5" w:right="93"/>
      </w:pPr>
      <w:r>
        <w:t>Art. 32 Verificada a inexistência de lançamento predial para os imóveis edificados no Município, serão adotadas as seguintes providências:</w:t>
      </w:r>
    </w:p>
    <w:p w:rsidR="007E562F" w:rsidRDefault="009941CF">
      <w:pPr>
        <w:ind w:left="-5" w:right="9"/>
      </w:pPr>
      <w:r>
        <w:t>§1º A constatação da área construída para fins de lançamento tributário, poderá ser comprovada por meio de: I – imagem de aerofoto, cuja área será estimada em croqui elaborado com base na área construída demonstrada na foto;</w:t>
      </w:r>
    </w:p>
    <w:p w:rsidR="007E562F" w:rsidRDefault="009941CF">
      <w:pPr>
        <w:ind w:left="-5" w:right="93"/>
      </w:pPr>
      <w:r>
        <w:t xml:space="preserve">II – informação fiscal emitida </w:t>
      </w:r>
      <w:r>
        <w:t>por órgão competente. §2º Constatada a irregularidade será autuado processo digital e estando presentes elementos suficientes para a formalização do lançamento imobiliário, caberá à Secretaria de Urbanismo comunicar, de ofício, à Secretaria de Finanças, pa</w:t>
      </w:r>
      <w:r>
        <w:t>ra que esta proceda à efetivação do respectivo lançamento tributário, com notificação simultânea para o requerente que poderá contestar o lançamento no prazo máximo de 20 (vinte) dias úteis. Art. 33 As edificações, reformas ou acréscimos objeto de ações ju</w:t>
      </w:r>
      <w:r>
        <w:t>diciais, ainda que com sentença já proferida, mas não executada, poderão ser regularizados com fundamento nesta Lei Complementar, desde que haja manifestação expressa de concordância das partes perante o Juízo competente, e o interessado comprometa-se a qu</w:t>
      </w:r>
      <w:r>
        <w:t>itar as multas e tributos devidos ao Município, bem como suportar as custas processuais, honorários advocatícios e demais encargos legais decorrentes da ação.</w:t>
      </w:r>
    </w:p>
    <w:p w:rsidR="007E562F" w:rsidRDefault="009941CF">
      <w:pPr>
        <w:ind w:left="-5" w:right="93"/>
      </w:pPr>
      <w:r>
        <w:t>Art. 34 Os alvarás e as plantas aprovadas deverão conter declaração expressa de que a Administraç</w:t>
      </w:r>
      <w:r>
        <w:t>ão Municipal não se responsabiliza pela análise da titularidade dominial ou por eventuais litígios envolvendo o domínio do imóvel. Art. 35 Na hipótese de não apresentação dos documentos exigidos nos termos desta Lei, o interessado poderá ser intimado, no m</w:t>
      </w:r>
      <w:r>
        <w:t>áximo, por meio de duas notificações (“comunique-se”) expedidas pela Administração Municipal.</w:t>
      </w:r>
    </w:p>
    <w:p w:rsidR="007E562F" w:rsidRDefault="009941CF">
      <w:pPr>
        <w:ind w:left="-5" w:right="105"/>
      </w:pPr>
      <w:r>
        <w:t>Parágrafo único. O não atendimento às solicitações no prazo de 20 (vinte) dias corridos, o pedido será indeferido e o processo arquivado por inércia da parte requ</w:t>
      </w:r>
      <w:r>
        <w:t>erente. Art. 36 Verificada a existência de divergência ou dúvida acerca de documentos ou informações constantes no procedimento de regularização automática, este será convertido em processo de regularização ordinária. Art. 37 A eficácia desta Lei Complemen</w:t>
      </w:r>
      <w:r>
        <w:t>tar poderá ser prorrogada, mediante requerimento do interessado, para fins de regularização de imóveis cuja irregularidade tenha ocorrido anteriormente à sua vigência, desde que tal situação seja constatada pela Fiscalização Municipal ou devidamente compro</w:t>
      </w:r>
      <w:r>
        <w:t>vada por meio de documentação apresentada ou foto aérea.</w:t>
      </w:r>
    </w:p>
    <w:p w:rsidR="007E562F" w:rsidRDefault="009941CF">
      <w:pPr>
        <w:ind w:left="-5" w:right="105"/>
      </w:pPr>
      <w:r>
        <w:t>Art. 38 Para efeitos de lançamento do Imposto Predial e Territorial Urbano – IPTU, considerar-se-á como data de conclusão da obra a data do protocolo do requerimento de regularização, exceto para a r</w:t>
      </w:r>
      <w:r>
        <w:t>egularização de edificação em áreas objeto de regularização fundiária de interesse social, regulamentada no Capítulo VIII desta Lei.</w:t>
      </w:r>
    </w:p>
    <w:p w:rsidR="007E562F" w:rsidRDefault="009941CF">
      <w:pPr>
        <w:ind w:left="-5" w:right="105"/>
      </w:pPr>
      <w:r>
        <w:t>Art. 39 Não incidirá a cobrança de taxas sobre as áreas anteriormente regularizadas, já com Habite-se, Carta de Ocupação, A</w:t>
      </w:r>
      <w:r>
        <w:t>lvará de Regularização, Visto, Certidão de Conclusão de Obras, ou Alvará e Planta de Conservação, previamente expedidos ou aprovados.</w:t>
      </w:r>
    </w:p>
    <w:p w:rsidR="007E562F" w:rsidRDefault="009941CF">
      <w:pPr>
        <w:ind w:left="-5" w:right="105"/>
      </w:pPr>
      <w:r>
        <w:t xml:space="preserve">Art. 40 Fica a Secretaria de Habitação (SEHAB) autorizada a promover, em colaboração com os proprietários ou possuidores, </w:t>
      </w:r>
      <w:r>
        <w:t>a regularização das edificações em imóveis que tenham sido, ou venham a ser, objeto de regularização fundiária, a qualquer tempo. Art. 41 Caberá ao Poder Executivo regulamentar, por meio de Decreto, o requerimento, os modelos de declaração, o croqui, laudo</w:t>
      </w:r>
      <w:r>
        <w:t>s, os termos de anuência e demais documentos necessários à fiel execução desta Lei</w:t>
      </w:r>
    </w:p>
    <w:tbl>
      <w:tblPr>
        <w:tblStyle w:val="TableGrid"/>
        <w:tblpPr w:vertAnchor="text" w:horzAnchor="margin"/>
        <w:tblOverlap w:val="never"/>
        <w:tblW w:w="10353" w:type="dxa"/>
        <w:tblInd w:w="0" w:type="dxa"/>
        <w:tblCellMar>
          <w:top w:w="16" w:type="dxa"/>
          <w:left w:w="165" w:type="dxa"/>
          <w:bottom w:w="0" w:type="dxa"/>
          <w:right w:w="0" w:type="dxa"/>
        </w:tblCellMar>
        <w:tblLook w:val="04A0" w:firstRow="1" w:lastRow="0" w:firstColumn="1" w:lastColumn="0" w:noHBand="0" w:noVBand="1"/>
      </w:tblPr>
      <w:tblGrid>
        <w:gridCol w:w="10353"/>
      </w:tblGrid>
      <w:tr w:rsidR="007E562F">
        <w:trPr>
          <w:trHeight w:val="169"/>
        </w:trPr>
        <w:tc>
          <w:tcPr>
            <w:tcW w:w="10501" w:type="dxa"/>
            <w:tcBorders>
              <w:top w:val="nil"/>
              <w:left w:val="nil"/>
              <w:bottom w:val="nil"/>
              <w:right w:val="nil"/>
            </w:tcBorders>
          </w:tcPr>
          <w:p w:rsidR="007E562F" w:rsidRDefault="009941CF">
            <w:pPr>
              <w:tabs>
                <w:tab w:val="right" w:pos="10501"/>
              </w:tabs>
              <w:spacing w:after="0" w:line="259" w:lineRule="auto"/>
              <w:ind w:left="0" w:right="-312" w:firstLine="0"/>
              <w:jc w:val="left"/>
            </w:pPr>
            <w:r>
              <w:rPr>
                <w:rFonts w:ascii="Arial" w:eastAsia="Arial" w:hAnsi="Arial" w:cs="Arial"/>
                <w:b/>
                <w:color w:val="FFFFFF"/>
                <w:sz w:val="16"/>
              </w:rPr>
              <w:t>Ano I | Edição nº 199 | 03/10/2025</w:t>
            </w:r>
            <w:r>
              <w:rPr>
                <w:rFonts w:ascii="Arial" w:eastAsia="Arial" w:hAnsi="Arial" w:cs="Arial"/>
                <w:b/>
                <w:color w:val="FFFFFF"/>
                <w:sz w:val="16"/>
              </w:rPr>
              <w:tab/>
              <w:t>WWW.PRAIAGRANDE.SP.GOV.BR</w:t>
            </w:r>
          </w:p>
        </w:tc>
      </w:tr>
    </w:tbl>
    <w:p w:rsidR="007E562F" w:rsidRDefault="009941CF">
      <w:pPr>
        <w:ind w:left="-5" w:right="9"/>
      </w:pPr>
      <w:r>
        <w:t>Complementar.</w:t>
      </w:r>
    </w:p>
    <w:p w:rsidR="007E562F" w:rsidRDefault="009941CF">
      <w:pPr>
        <w:ind w:left="-5" w:right="9"/>
      </w:pPr>
      <w:r>
        <w:t>Art. 42 A veracidade das informações prestadas no âmbito desta Lei Complementar é de inteira resp</w:t>
      </w:r>
      <w:r>
        <w:t>onsabilidade do proprietário do imóvel e do profissional habilitado.</w:t>
      </w:r>
    </w:p>
    <w:p w:rsidR="007E562F" w:rsidRDefault="009941CF">
      <w:pPr>
        <w:ind w:left="-5" w:right="9"/>
      </w:pPr>
      <w:r>
        <w:t>Parágrafo único. A prestação de informações falsas, omissas ou incorretas sujeitará o proprietário e o profissional responsável às sanções administrativas, civis e penais cabíveis, nos te</w:t>
      </w:r>
      <w:r>
        <w:t>rmos da legislação vigente.</w:t>
      </w:r>
    </w:p>
    <w:p w:rsidR="007E562F" w:rsidRDefault="009941CF">
      <w:pPr>
        <w:ind w:left="-5" w:right="9"/>
      </w:pPr>
      <w:r>
        <w:t>Art. 43 Faculta-se à Municipalidade, a qualquer tempo, exigir a apresentação de levantamento topográfico georreferenciado, sempre que se verificar dúvida de ordem técnica.</w:t>
      </w:r>
    </w:p>
    <w:p w:rsidR="007E562F" w:rsidRDefault="009941CF">
      <w:pPr>
        <w:ind w:left="-5" w:right="9"/>
      </w:pPr>
      <w:r>
        <w:t>Art. 44 A expedição dos documentos disciplinados por est</w:t>
      </w:r>
      <w:r>
        <w:t>a Lei Complementar fica subordinada à apresentação de comprovação da quitação das taxas e multas nela previstas, ressalvados os casos de alvarás destinados à regularização de obras em andamento.</w:t>
      </w:r>
    </w:p>
    <w:p w:rsidR="007E562F" w:rsidRDefault="009941CF">
      <w:pPr>
        <w:ind w:left="-5" w:right="9"/>
      </w:pPr>
      <w:r>
        <w:t>Art. 45 As taxas e multas previstas nesta Lei Complementar se</w:t>
      </w:r>
      <w:r>
        <w:t>rão objeto de atualização anual, em conformidade com os índices e critérios estabelecidos em Resolução da Secretaria de Finanças – SEFIN. Art. 46 Esta Lei Complementar entra em vigor na data de sua publicação, revogadas as disposições em contrário, especia</w:t>
      </w:r>
      <w:r>
        <w:t>lmente a Lei Complementar nº 747, de 21 de dezembro de 2017 e a Lei Complementar nº 901, de 17 de dezembro de 2021.</w:t>
      </w:r>
    </w:p>
    <w:p w:rsidR="007E562F" w:rsidRDefault="009941CF">
      <w:pPr>
        <w:ind w:left="-5" w:right="9"/>
      </w:pPr>
      <w:r>
        <w:t>Palácio São Francisco de Assis, Prefeitura da Estância Balneária de Praia Grande, aos 1° de outubro de 2025 ano quinquagésimo nono da emancipação.</w:t>
      </w:r>
    </w:p>
    <w:p w:rsidR="007E562F" w:rsidRDefault="009941CF">
      <w:pPr>
        <w:ind w:left="-5" w:right="9"/>
      </w:pPr>
      <w:r>
        <w:t>ALBERTO PEREIRA MOURÃO</w:t>
      </w:r>
    </w:p>
    <w:p w:rsidR="007E562F" w:rsidRDefault="009941CF">
      <w:pPr>
        <w:ind w:left="-5" w:right="9"/>
      </w:pPr>
      <w:r>
        <w:t>PREFEITO</w:t>
      </w:r>
    </w:p>
    <w:p w:rsidR="007E562F" w:rsidRDefault="009941CF">
      <w:pPr>
        <w:ind w:left="-5" w:right="9"/>
      </w:pPr>
      <w:r>
        <w:t>Cássio de Castro Navarro</w:t>
      </w:r>
    </w:p>
    <w:p w:rsidR="007E562F" w:rsidRDefault="009941CF">
      <w:pPr>
        <w:ind w:left="-5" w:right="9"/>
      </w:pPr>
      <w:r>
        <w:t>Secretário Municipal de Governo</w:t>
      </w:r>
    </w:p>
    <w:p w:rsidR="007E562F" w:rsidRDefault="009941CF">
      <w:pPr>
        <w:ind w:left="-5" w:right="9"/>
      </w:pPr>
      <w:r>
        <w:t>Registrado e publica</w:t>
      </w:r>
      <w:r>
        <w:t>do na Secretaria de Administração, aos 1º de outubro de 2025. Ronaldo Ferreira de Alcântara</w:t>
      </w:r>
    </w:p>
    <w:p w:rsidR="007E562F" w:rsidRDefault="009941CF">
      <w:pPr>
        <w:spacing w:after="90"/>
        <w:ind w:left="-5" w:right="9"/>
      </w:pPr>
      <w:r>
        <w:t>Respondendo pela Secretaria Municipal de Administração Processo Administrativo nº 37584/2025</w:t>
      </w:r>
    </w:p>
    <w:p w:rsidR="007E562F" w:rsidRDefault="009941CF">
      <w:pPr>
        <w:shd w:val="clear" w:color="auto" w:fill="333333"/>
        <w:spacing w:after="204" w:line="259" w:lineRule="auto"/>
        <w:ind w:left="-5"/>
        <w:jc w:val="left"/>
      </w:pPr>
      <w:r>
        <w:rPr>
          <w:b/>
          <w:color w:val="FFFFFF"/>
          <w:sz w:val="24"/>
        </w:rPr>
        <w:t xml:space="preserve"> SEG – Secretaria de Governo</w:t>
      </w:r>
    </w:p>
    <w:p w:rsidR="007E562F" w:rsidRDefault="009941CF">
      <w:pPr>
        <w:spacing w:after="90"/>
        <w:ind w:left="-5" w:right="9"/>
      </w:pPr>
      <w:r>
        <w:t>(NÃO HÁ PUBLICAÇÕES NESTA DATA)</w:t>
      </w:r>
    </w:p>
    <w:p w:rsidR="007E562F" w:rsidRDefault="009941CF">
      <w:pPr>
        <w:shd w:val="clear" w:color="auto" w:fill="333333"/>
        <w:spacing w:after="204" w:line="259" w:lineRule="auto"/>
        <w:ind w:left="-5"/>
        <w:jc w:val="left"/>
      </w:pPr>
      <w:r>
        <w:rPr>
          <w:b/>
          <w:color w:val="FFFFFF"/>
          <w:sz w:val="24"/>
        </w:rPr>
        <w:t xml:space="preserve"> SEPLAN – </w:t>
      </w:r>
      <w:r>
        <w:rPr>
          <w:b/>
          <w:color w:val="FFFFFF"/>
          <w:sz w:val="24"/>
        </w:rPr>
        <w:t>Secretaria de Planejamento</w:t>
      </w:r>
    </w:p>
    <w:p w:rsidR="007E562F" w:rsidRDefault="009941CF">
      <w:pPr>
        <w:spacing w:after="90"/>
        <w:ind w:left="-5" w:right="9"/>
      </w:pPr>
      <w:r>
        <w:t>(NÃO HÁ PUBLICAÇÕES NESTA DATA)</w:t>
      </w:r>
    </w:p>
    <w:p w:rsidR="007E562F" w:rsidRDefault="009941CF">
      <w:pPr>
        <w:shd w:val="clear" w:color="auto" w:fill="333333"/>
        <w:spacing w:after="60" w:line="259" w:lineRule="auto"/>
        <w:ind w:left="-5"/>
        <w:jc w:val="left"/>
      </w:pPr>
      <w:r>
        <w:rPr>
          <w:b/>
          <w:color w:val="FFFFFF"/>
          <w:sz w:val="24"/>
        </w:rPr>
        <w:t xml:space="preserve"> SEASP – Secretaria de Assuntos de Segurança</w:t>
      </w:r>
    </w:p>
    <w:p w:rsidR="007E562F" w:rsidRDefault="009941CF">
      <w:pPr>
        <w:shd w:val="clear" w:color="auto" w:fill="333333"/>
        <w:spacing w:after="204" w:line="259" w:lineRule="auto"/>
        <w:ind w:left="-5"/>
        <w:jc w:val="left"/>
      </w:pPr>
      <w:r>
        <w:rPr>
          <w:b/>
          <w:color w:val="FFFFFF"/>
          <w:sz w:val="24"/>
        </w:rPr>
        <w:t>Pública</w:t>
      </w:r>
    </w:p>
    <w:p w:rsidR="007E562F" w:rsidRDefault="009941CF">
      <w:pPr>
        <w:ind w:left="-5" w:right="9"/>
      </w:pPr>
      <w:r>
        <w:t>(NÃO HÁ PUBLICAÇÕES NESTA DATA)</w:t>
      </w:r>
    </w:p>
    <w:sectPr w:rsidR="007E562F">
      <w:type w:val="continuous"/>
      <w:pgSz w:w="11906" w:h="16838"/>
      <w:pgMar w:top="2819" w:right="575" w:bottom="1282" w:left="567" w:header="720" w:footer="720" w:gutter="0"/>
      <w:cols w:num="2" w:space="4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9941CF">
      <w:pPr>
        <w:spacing w:after="0" w:line="240" w:lineRule="auto"/>
      </w:pPr>
      <w:r>
        <w:separator/>
      </w:r>
    </w:p>
  </w:endnote>
  <w:endnote w:type="continuationSeparator" w:id="0">
    <w:p w:rsidR="00000000" w:rsidRDefault="009941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E562F" w:rsidRDefault="009941CF">
    <w:pPr>
      <w:spacing w:after="0" w:line="259" w:lineRule="auto"/>
      <w:ind w:left="0" w:right="204" w:firstLine="0"/>
      <w:jc w:val="right"/>
    </w:pPr>
    <w:r>
      <w:rPr>
        <w:rFonts w:ascii="Calibri" w:eastAsia="Calibri" w:hAnsi="Calibri" w:cs="Calibri"/>
        <w:noProof/>
      </w:rPr>
      <mc:AlternateContent>
        <mc:Choice Requires="wpg">
          <w:drawing>
            <wp:anchor distT="0" distB="0" distL="114300" distR="114300" simplePos="0" relativeHeight="251664384" behindDoc="0" locked="0" layoutInCell="1" allowOverlap="1">
              <wp:simplePos x="0" y="0"/>
              <wp:positionH relativeFrom="page">
                <wp:posOffset>0</wp:posOffset>
              </wp:positionH>
              <wp:positionV relativeFrom="page">
                <wp:posOffset>10152004</wp:posOffset>
              </wp:positionV>
              <wp:extent cx="7560005" cy="540000"/>
              <wp:effectExtent l="0" t="0" r="0" b="0"/>
              <wp:wrapSquare wrapText="bothSides"/>
              <wp:docPr id="17688" name="Group 17688"/>
              <wp:cNvGraphicFramePr/>
              <a:graphic xmlns:a="http://schemas.openxmlformats.org/drawingml/2006/main">
                <a:graphicData uri="http://schemas.microsoft.com/office/word/2010/wordprocessingGroup">
                  <wpg:wgp>
                    <wpg:cNvGrpSpPr/>
                    <wpg:grpSpPr>
                      <a:xfrm>
                        <a:off x="0" y="0"/>
                        <a:ext cx="7560005" cy="540000"/>
                        <a:chOff x="0" y="0"/>
                        <a:chExt cx="7560005" cy="540000"/>
                      </a:xfrm>
                    </wpg:grpSpPr>
                    <wps:wsp>
                      <wps:cNvPr id="18349" name="Shape 18349"/>
                      <wps:cNvSpPr/>
                      <wps:spPr>
                        <a:xfrm>
                          <a:off x="0" y="0"/>
                          <a:ext cx="7560005" cy="540000"/>
                        </a:xfrm>
                        <a:custGeom>
                          <a:avLst/>
                          <a:gdLst/>
                          <a:ahLst/>
                          <a:cxnLst/>
                          <a:rect l="0" t="0" r="0" b="0"/>
                          <a:pathLst>
                            <a:path w="7560005" h="540000">
                              <a:moveTo>
                                <a:pt x="0" y="0"/>
                              </a:moveTo>
                              <a:lnTo>
                                <a:pt x="7560005" y="0"/>
                              </a:lnTo>
                              <a:lnTo>
                                <a:pt x="7560005" y="540000"/>
                              </a:lnTo>
                              <a:lnTo>
                                <a:pt x="0" y="540000"/>
                              </a:lnTo>
                              <a:lnTo>
                                <a:pt x="0" y="0"/>
                              </a:lnTo>
                            </a:path>
                          </a:pathLst>
                        </a:custGeom>
                        <a:ln w="0" cap="flat">
                          <a:miter lim="127000"/>
                        </a:ln>
                      </wps:spPr>
                      <wps:style>
                        <a:lnRef idx="0">
                          <a:srgbClr val="000000">
                            <a:alpha val="0"/>
                          </a:srgbClr>
                        </a:lnRef>
                        <a:fillRef idx="1">
                          <a:srgbClr val="028DCF"/>
                        </a:fillRef>
                        <a:effectRef idx="0">
                          <a:scrgbClr r="0" g="0" b="0"/>
                        </a:effectRef>
                        <a:fontRef idx="none"/>
                      </wps:style>
                      <wps:bodyPr/>
                    </wps:wsp>
                    <pic:pic xmlns:pic="http://schemas.openxmlformats.org/drawingml/2006/picture">
                      <pic:nvPicPr>
                        <pic:cNvPr id="17690" name="Picture 17690"/>
                        <pic:cNvPicPr/>
                      </pic:nvPicPr>
                      <pic:blipFill>
                        <a:blip r:embed="rId1"/>
                        <a:stretch>
                          <a:fillRect/>
                        </a:stretch>
                      </pic:blipFill>
                      <pic:spPr>
                        <a:xfrm>
                          <a:off x="3240003" y="71999"/>
                          <a:ext cx="1080000" cy="413397"/>
                        </a:xfrm>
                        <a:prstGeom prst="rect">
                          <a:avLst/>
                        </a:prstGeom>
                      </pic:spPr>
                    </pic:pic>
                  </wpg:wgp>
                </a:graphicData>
              </a:graphic>
            </wp:anchor>
          </w:drawing>
        </mc:Choice>
        <mc:Fallback xmlns:a="http://schemas.openxmlformats.org/drawingml/2006/main">
          <w:pict>
            <v:group id="Group 17688" style="width:595.276pt;height:42.5197pt;position:absolute;mso-position-horizontal-relative:page;mso-position-horizontal:absolute;margin-left:0pt;mso-position-vertical-relative:page;margin-top:799.37pt;" coordsize="75600,5400">
              <v:shape id="Shape 18350" style="position:absolute;width:75600;height:5400;left:0;top:0;" coordsize="7560005,540000" path="m0,0l7560005,0l7560005,540000l0,540000l0,0">
                <v:stroke weight="0pt" endcap="flat" joinstyle="miter" miterlimit="10" on="false" color="#000000" opacity="0"/>
                <v:fill on="true" color="#028dcf"/>
              </v:shape>
              <v:shape id="Picture 17690" style="position:absolute;width:10800;height:4133;left:32400;top:719;" filled="f">
                <v:imagedata r:id="rId9"/>
              </v:shape>
              <w10:wrap type="square"/>
            </v:group>
          </w:pict>
        </mc:Fallback>
      </mc:AlternateContent>
    </w:r>
    <w:r>
      <w:rPr>
        <w:rFonts w:ascii="Arial" w:eastAsia="Arial" w:hAnsi="Arial" w:cs="Arial"/>
        <w:b/>
        <w:sz w:val="16"/>
      </w:rPr>
      <w:t xml:space="preserve">                                  PÁGINA </w:t>
    </w:r>
    <w:r>
      <w:fldChar w:fldCharType="begin"/>
    </w:r>
    <w:r>
      <w:instrText xml:space="preserve"> PAGE   \* MERGEFORMAT </w:instrText>
    </w:r>
    <w:r>
      <w:fldChar w:fldCharType="separate"/>
    </w:r>
    <w:r>
      <w:rPr>
        <w:rFonts w:ascii="Arial" w:eastAsia="Arial" w:hAnsi="Arial" w:cs="Arial"/>
        <w:b/>
        <w:sz w:val="16"/>
      </w:rPr>
      <w:t>4</w:t>
    </w:r>
    <w:r>
      <w:rPr>
        <w:rFonts w:ascii="Arial" w:eastAsia="Arial" w:hAnsi="Arial" w:cs="Arial"/>
        <w:b/>
        <w:sz w:val="16"/>
      </w:rPr>
      <w:fldChar w:fldCharType="end"/>
    </w:r>
    <w:r>
      <w:rPr>
        <w:rFonts w:ascii="Arial" w:eastAsia="Arial" w:hAnsi="Arial" w:cs="Arial"/>
        <w:b/>
        <w:sz w:val="16"/>
      </w:rPr>
      <w:t xml:space="preserve"> DE 34</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E562F" w:rsidRDefault="009941CF">
    <w:pPr>
      <w:spacing w:after="0" w:line="259" w:lineRule="auto"/>
      <w:ind w:left="0" w:right="204" w:firstLine="0"/>
      <w:jc w:val="right"/>
    </w:pPr>
    <w:r>
      <w:rPr>
        <w:rFonts w:ascii="Calibri" w:eastAsia="Calibri" w:hAnsi="Calibri" w:cs="Calibri"/>
        <w:noProof/>
      </w:rPr>
      <mc:AlternateContent>
        <mc:Choice Requires="wpg">
          <w:drawing>
            <wp:anchor distT="0" distB="0" distL="114300" distR="114300" simplePos="0" relativeHeight="251665408" behindDoc="0" locked="0" layoutInCell="1" allowOverlap="1">
              <wp:simplePos x="0" y="0"/>
              <wp:positionH relativeFrom="page">
                <wp:posOffset>0</wp:posOffset>
              </wp:positionH>
              <wp:positionV relativeFrom="page">
                <wp:posOffset>10152004</wp:posOffset>
              </wp:positionV>
              <wp:extent cx="7560005" cy="540000"/>
              <wp:effectExtent l="0" t="0" r="0" b="0"/>
              <wp:wrapSquare wrapText="bothSides"/>
              <wp:docPr id="17665" name="Group 17665"/>
              <wp:cNvGraphicFramePr/>
              <a:graphic xmlns:a="http://schemas.openxmlformats.org/drawingml/2006/main">
                <a:graphicData uri="http://schemas.microsoft.com/office/word/2010/wordprocessingGroup">
                  <wpg:wgp>
                    <wpg:cNvGrpSpPr/>
                    <wpg:grpSpPr>
                      <a:xfrm>
                        <a:off x="0" y="0"/>
                        <a:ext cx="7560005" cy="540000"/>
                        <a:chOff x="0" y="0"/>
                        <a:chExt cx="7560005" cy="540000"/>
                      </a:xfrm>
                    </wpg:grpSpPr>
                    <wps:wsp>
                      <wps:cNvPr id="18347" name="Shape 18347"/>
                      <wps:cNvSpPr/>
                      <wps:spPr>
                        <a:xfrm>
                          <a:off x="0" y="0"/>
                          <a:ext cx="7560005" cy="540000"/>
                        </a:xfrm>
                        <a:custGeom>
                          <a:avLst/>
                          <a:gdLst/>
                          <a:ahLst/>
                          <a:cxnLst/>
                          <a:rect l="0" t="0" r="0" b="0"/>
                          <a:pathLst>
                            <a:path w="7560005" h="540000">
                              <a:moveTo>
                                <a:pt x="0" y="0"/>
                              </a:moveTo>
                              <a:lnTo>
                                <a:pt x="7560005" y="0"/>
                              </a:lnTo>
                              <a:lnTo>
                                <a:pt x="7560005" y="540000"/>
                              </a:lnTo>
                              <a:lnTo>
                                <a:pt x="0" y="540000"/>
                              </a:lnTo>
                              <a:lnTo>
                                <a:pt x="0" y="0"/>
                              </a:lnTo>
                            </a:path>
                          </a:pathLst>
                        </a:custGeom>
                        <a:ln w="0" cap="flat">
                          <a:miter lim="127000"/>
                        </a:ln>
                      </wps:spPr>
                      <wps:style>
                        <a:lnRef idx="0">
                          <a:srgbClr val="000000">
                            <a:alpha val="0"/>
                          </a:srgbClr>
                        </a:lnRef>
                        <a:fillRef idx="1">
                          <a:srgbClr val="028DCF"/>
                        </a:fillRef>
                        <a:effectRef idx="0">
                          <a:scrgbClr r="0" g="0" b="0"/>
                        </a:effectRef>
                        <a:fontRef idx="none"/>
                      </wps:style>
                      <wps:bodyPr/>
                    </wps:wsp>
                    <pic:pic xmlns:pic="http://schemas.openxmlformats.org/drawingml/2006/picture">
                      <pic:nvPicPr>
                        <pic:cNvPr id="17667" name="Picture 17667"/>
                        <pic:cNvPicPr/>
                      </pic:nvPicPr>
                      <pic:blipFill>
                        <a:blip r:embed="rId1"/>
                        <a:stretch>
                          <a:fillRect/>
                        </a:stretch>
                      </pic:blipFill>
                      <pic:spPr>
                        <a:xfrm>
                          <a:off x="3240003" y="71999"/>
                          <a:ext cx="1080000" cy="413397"/>
                        </a:xfrm>
                        <a:prstGeom prst="rect">
                          <a:avLst/>
                        </a:prstGeom>
                      </pic:spPr>
                    </pic:pic>
                  </wpg:wgp>
                </a:graphicData>
              </a:graphic>
            </wp:anchor>
          </w:drawing>
        </mc:Choice>
        <mc:Fallback xmlns:a="http://schemas.openxmlformats.org/drawingml/2006/main">
          <w:pict>
            <v:group id="Group 17665" style="width:595.276pt;height:42.5197pt;position:absolute;mso-position-horizontal-relative:page;mso-position-horizontal:absolute;margin-left:0pt;mso-position-vertical-relative:page;margin-top:799.37pt;" coordsize="75600,5400">
              <v:shape id="Shape 18348" style="position:absolute;width:75600;height:5400;left:0;top:0;" coordsize="7560005,540000" path="m0,0l7560005,0l7560005,540000l0,540000l0,0">
                <v:stroke weight="0pt" endcap="flat" joinstyle="miter" miterlimit="10" on="false" color="#000000" opacity="0"/>
                <v:fill on="true" color="#028dcf"/>
              </v:shape>
              <v:shape id="Picture 17667" style="position:absolute;width:10800;height:4133;left:32400;top:719;" filled="f">
                <v:imagedata r:id="rId9"/>
              </v:shape>
              <w10:wrap type="square"/>
            </v:group>
          </w:pict>
        </mc:Fallback>
      </mc:AlternateContent>
    </w:r>
    <w:r>
      <w:rPr>
        <w:rFonts w:ascii="Arial" w:eastAsia="Arial" w:hAnsi="Arial" w:cs="Arial"/>
        <w:b/>
        <w:sz w:val="16"/>
      </w:rPr>
      <w:t xml:space="preserve">                                  PÁGINA </w:t>
    </w:r>
    <w:r>
      <w:fldChar w:fldCharType="begin"/>
    </w:r>
    <w:r>
      <w:instrText xml:space="preserve"> PAGE   \* MERGEFORMAT </w:instrText>
    </w:r>
    <w:r>
      <w:fldChar w:fldCharType="separate"/>
    </w:r>
    <w:r>
      <w:rPr>
        <w:rFonts w:ascii="Arial" w:eastAsia="Arial" w:hAnsi="Arial" w:cs="Arial"/>
        <w:b/>
        <w:sz w:val="16"/>
      </w:rPr>
      <w:t>4</w:t>
    </w:r>
    <w:r>
      <w:rPr>
        <w:rFonts w:ascii="Arial" w:eastAsia="Arial" w:hAnsi="Arial" w:cs="Arial"/>
        <w:b/>
        <w:sz w:val="16"/>
      </w:rPr>
      <w:fldChar w:fldCharType="end"/>
    </w:r>
    <w:r>
      <w:rPr>
        <w:rFonts w:ascii="Arial" w:eastAsia="Arial" w:hAnsi="Arial" w:cs="Arial"/>
        <w:b/>
        <w:sz w:val="16"/>
      </w:rPr>
      <w:t xml:space="preserve"> DE 34</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E562F" w:rsidRDefault="009941CF">
    <w:pPr>
      <w:spacing w:after="0" w:line="259" w:lineRule="auto"/>
      <w:ind w:left="0" w:right="204" w:firstLine="0"/>
      <w:jc w:val="right"/>
    </w:pPr>
    <w:r>
      <w:rPr>
        <w:rFonts w:ascii="Calibri" w:eastAsia="Calibri" w:hAnsi="Calibri" w:cs="Calibri"/>
        <w:noProof/>
      </w:rPr>
      <mc:AlternateContent>
        <mc:Choice Requires="wpg">
          <w:drawing>
            <wp:anchor distT="0" distB="0" distL="114300" distR="114300" simplePos="0" relativeHeight="251666432" behindDoc="0" locked="0" layoutInCell="1" allowOverlap="1">
              <wp:simplePos x="0" y="0"/>
              <wp:positionH relativeFrom="page">
                <wp:posOffset>0</wp:posOffset>
              </wp:positionH>
              <wp:positionV relativeFrom="page">
                <wp:posOffset>10152004</wp:posOffset>
              </wp:positionV>
              <wp:extent cx="7560005" cy="540000"/>
              <wp:effectExtent l="0" t="0" r="0" b="0"/>
              <wp:wrapSquare wrapText="bothSides"/>
              <wp:docPr id="17642" name="Group 17642"/>
              <wp:cNvGraphicFramePr/>
              <a:graphic xmlns:a="http://schemas.openxmlformats.org/drawingml/2006/main">
                <a:graphicData uri="http://schemas.microsoft.com/office/word/2010/wordprocessingGroup">
                  <wpg:wgp>
                    <wpg:cNvGrpSpPr/>
                    <wpg:grpSpPr>
                      <a:xfrm>
                        <a:off x="0" y="0"/>
                        <a:ext cx="7560005" cy="540000"/>
                        <a:chOff x="0" y="0"/>
                        <a:chExt cx="7560005" cy="540000"/>
                      </a:xfrm>
                    </wpg:grpSpPr>
                    <wps:wsp>
                      <wps:cNvPr id="18345" name="Shape 18345"/>
                      <wps:cNvSpPr/>
                      <wps:spPr>
                        <a:xfrm>
                          <a:off x="0" y="0"/>
                          <a:ext cx="7560005" cy="540000"/>
                        </a:xfrm>
                        <a:custGeom>
                          <a:avLst/>
                          <a:gdLst/>
                          <a:ahLst/>
                          <a:cxnLst/>
                          <a:rect l="0" t="0" r="0" b="0"/>
                          <a:pathLst>
                            <a:path w="7560005" h="540000">
                              <a:moveTo>
                                <a:pt x="0" y="0"/>
                              </a:moveTo>
                              <a:lnTo>
                                <a:pt x="7560005" y="0"/>
                              </a:lnTo>
                              <a:lnTo>
                                <a:pt x="7560005" y="540000"/>
                              </a:lnTo>
                              <a:lnTo>
                                <a:pt x="0" y="540000"/>
                              </a:lnTo>
                              <a:lnTo>
                                <a:pt x="0" y="0"/>
                              </a:lnTo>
                            </a:path>
                          </a:pathLst>
                        </a:custGeom>
                        <a:ln w="0" cap="flat">
                          <a:miter lim="127000"/>
                        </a:ln>
                      </wps:spPr>
                      <wps:style>
                        <a:lnRef idx="0">
                          <a:srgbClr val="000000">
                            <a:alpha val="0"/>
                          </a:srgbClr>
                        </a:lnRef>
                        <a:fillRef idx="1">
                          <a:srgbClr val="028DCF"/>
                        </a:fillRef>
                        <a:effectRef idx="0">
                          <a:scrgbClr r="0" g="0" b="0"/>
                        </a:effectRef>
                        <a:fontRef idx="none"/>
                      </wps:style>
                      <wps:bodyPr/>
                    </wps:wsp>
                    <pic:pic xmlns:pic="http://schemas.openxmlformats.org/drawingml/2006/picture">
                      <pic:nvPicPr>
                        <pic:cNvPr id="17644" name="Picture 17644"/>
                        <pic:cNvPicPr/>
                      </pic:nvPicPr>
                      <pic:blipFill>
                        <a:blip r:embed="rId1"/>
                        <a:stretch>
                          <a:fillRect/>
                        </a:stretch>
                      </pic:blipFill>
                      <pic:spPr>
                        <a:xfrm>
                          <a:off x="3240003" y="71999"/>
                          <a:ext cx="1080000" cy="413397"/>
                        </a:xfrm>
                        <a:prstGeom prst="rect">
                          <a:avLst/>
                        </a:prstGeom>
                      </pic:spPr>
                    </pic:pic>
                  </wpg:wgp>
                </a:graphicData>
              </a:graphic>
            </wp:anchor>
          </w:drawing>
        </mc:Choice>
        <mc:Fallback xmlns:a="http://schemas.openxmlformats.org/drawingml/2006/main">
          <w:pict>
            <v:group id="Group 17642" style="width:595.276pt;height:42.5197pt;position:absolute;mso-position-horizontal-relative:page;mso-position-horizontal:absolute;margin-left:0pt;mso-position-vertical-relative:page;margin-top:799.37pt;" coordsize="75600,5400">
              <v:shape id="Shape 18346" style="position:absolute;width:75600;height:5400;left:0;top:0;" coordsize="7560005,540000" path="m0,0l7560005,0l7560005,540000l0,540000l0,0">
                <v:stroke weight="0pt" endcap="flat" joinstyle="miter" miterlimit="10" on="false" color="#000000" opacity="0"/>
                <v:fill on="true" color="#028dcf"/>
              </v:shape>
              <v:shape id="Picture 17644" style="position:absolute;width:10800;height:4133;left:32400;top:719;" filled="f">
                <v:imagedata r:id="rId9"/>
              </v:shape>
              <w10:wrap type="square"/>
            </v:group>
          </w:pict>
        </mc:Fallback>
      </mc:AlternateContent>
    </w:r>
    <w:r>
      <w:rPr>
        <w:rFonts w:ascii="Arial" w:eastAsia="Arial" w:hAnsi="Arial" w:cs="Arial"/>
        <w:b/>
        <w:sz w:val="16"/>
      </w:rPr>
      <w:t xml:space="preserve">                                  PÁGINA </w:t>
    </w:r>
    <w:r>
      <w:fldChar w:fldCharType="begin"/>
    </w:r>
    <w:r>
      <w:instrText xml:space="preserve"> PAGE   \* MERGEFORMAT </w:instrText>
    </w:r>
    <w:r>
      <w:fldChar w:fldCharType="separate"/>
    </w:r>
    <w:r>
      <w:rPr>
        <w:rFonts w:ascii="Arial" w:eastAsia="Arial" w:hAnsi="Arial" w:cs="Arial"/>
        <w:b/>
        <w:sz w:val="16"/>
      </w:rPr>
      <w:t>4</w:t>
    </w:r>
    <w:r>
      <w:rPr>
        <w:rFonts w:ascii="Arial" w:eastAsia="Arial" w:hAnsi="Arial" w:cs="Arial"/>
        <w:b/>
        <w:sz w:val="16"/>
      </w:rPr>
      <w:fldChar w:fldCharType="end"/>
    </w:r>
    <w:r>
      <w:rPr>
        <w:rFonts w:ascii="Arial" w:eastAsia="Arial" w:hAnsi="Arial" w:cs="Arial"/>
        <w:b/>
        <w:sz w:val="16"/>
      </w:rPr>
      <w:t xml:space="preserve"> DE 34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9941CF">
      <w:pPr>
        <w:spacing w:after="0" w:line="240" w:lineRule="auto"/>
      </w:pPr>
      <w:r>
        <w:separator/>
      </w:r>
    </w:p>
  </w:footnote>
  <w:footnote w:type="continuationSeparator" w:id="0">
    <w:p w:rsidR="00000000" w:rsidRDefault="009941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E562F" w:rsidRDefault="009941CF">
    <w:pPr>
      <w:spacing w:after="0" w:line="259" w:lineRule="auto"/>
      <w:ind w:left="-732" w:right="11232" w:firstLine="0"/>
      <w:jc w:val="left"/>
    </w:pPr>
    <w:r>
      <w:rPr>
        <w:rFonts w:ascii="Calibri" w:eastAsia="Calibri" w:hAnsi="Calibri" w:cs="Calibri"/>
        <w:noProof/>
      </w:rPr>
      <mc:AlternateContent>
        <mc:Choice Requires="wpg">
          <w:drawing>
            <wp:anchor distT="0" distB="0" distL="114300" distR="114300" simplePos="0" relativeHeight="251658240" behindDoc="0" locked="0" layoutInCell="1" allowOverlap="1">
              <wp:simplePos x="0" y="0"/>
              <wp:positionH relativeFrom="page">
                <wp:posOffset>0</wp:posOffset>
              </wp:positionH>
              <wp:positionV relativeFrom="page">
                <wp:posOffset>0</wp:posOffset>
              </wp:positionV>
              <wp:extent cx="7560005" cy="1692000"/>
              <wp:effectExtent l="0" t="0" r="0" b="0"/>
              <wp:wrapSquare wrapText="bothSides"/>
              <wp:docPr id="17672" name="Group 17672"/>
              <wp:cNvGraphicFramePr/>
              <a:graphic xmlns:a="http://schemas.openxmlformats.org/drawingml/2006/main">
                <a:graphicData uri="http://schemas.microsoft.com/office/word/2010/wordprocessingGroup">
                  <wpg:wgp>
                    <wpg:cNvGrpSpPr/>
                    <wpg:grpSpPr>
                      <a:xfrm>
                        <a:off x="0" y="0"/>
                        <a:ext cx="7560005" cy="1692000"/>
                        <a:chOff x="0" y="0"/>
                        <a:chExt cx="7560005" cy="1692000"/>
                      </a:xfrm>
                    </wpg:grpSpPr>
                    <wps:wsp>
                      <wps:cNvPr id="18337" name="Shape 18337"/>
                      <wps:cNvSpPr/>
                      <wps:spPr>
                        <a:xfrm>
                          <a:off x="0" y="0"/>
                          <a:ext cx="7560005" cy="1692000"/>
                        </a:xfrm>
                        <a:custGeom>
                          <a:avLst/>
                          <a:gdLst/>
                          <a:ahLst/>
                          <a:cxnLst/>
                          <a:rect l="0" t="0" r="0" b="0"/>
                          <a:pathLst>
                            <a:path w="7560005" h="1692000">
                              <a:moveTo>
                                <a:pt x="0" y="0"/>
                              </a:moveTo>
                              <a:lnTo>
                                <a:pt x="7560005" y="0"/>
                              </a:lnTo>
                              <a:lnTo>
                                <a:pt x="7560005" y="1692000"/>
                              </a:lnTo>
                              <a:lnTo>
                                <a:pt x="0" y="1692000"/>
                              </a:lnTo>
                              <a:lnTo>
                                <a:pt x="0" y="0"/>
                              </a:lnTo>
                            </a:path>
                          </a:pathLst>
                        </a:custGeom>
                        <a:ln w="0" cap="flat">
                          <a:miter lim="127000"/>
                        </a:ln>
                      </wps:spPr>
                      <wps:style>
                        <a:lnRef idx="0">
                          <a:srgbClr val="000000">
                            <a:alpha val="0"/>
                          </a:srgbClr>
                        </a:lnRef>
                        <a:fillRef idx="1">
                          <a:srgbClr val="028DCF"/>
                        </a:fillRef>
                        <a:effectRef idx="0">
                          <a:scrgbClr r="0" g="0" b="0"/>
                        </a:effectRef>
                        <a:fontRef idx="none"/>
                      </wps:style>
                      <wps:bodyPr/>
                    </wps:wsp>
                    <pic:pic xmlns:pic="http://schemas.openxmlformats.org/drawingml/2006/picture">
                      <pic:nvPicPr>
                        <pic:cNvPr id="17674" name="Picture 17674"/>
                        <pic:cNvPicPr/>
                      </pic:nvPicPr>
                      <pic:blipFill>
                        <a:blip r:embed="rId1"/>
                        <a:stretch>
                          <a:fillRect/>
                        </a:stretch>
                      </pic:blipFill>
                      <pic:spPr>
                        <a:xfrm>
                          <a:off x="3" y="0"/>
                          <a:ext cx="7560000" cy="1692000"/>
                        </a:xfrm>
                        <a:prstGeom prst="rect">
                          <a:avLst/>
                        </a:prstGeom>
                      </pic:spPr>
                    </pic:pic>
                  </wpg:wgp>
                </a:graphicData>
              </a:graphic>
            </wp:anchor>
          </w:drawing>
        </mc:Choice>
        <mc:Fallback xmlns:a="http://schemas.openxmlformats.org/drawingml/2006/main">
          <w:pict>
            <v:group id="Group 17672" style="width:595.276pt;height:133.228pt;position:absolute;mso-position-horizontal-relative:page;mso-position-horizontal:absolute;margin-left:0pt;mso-position-vertical-relative:page;margin-top:-1.52588e-05pt;" coordsize="75600,16920">
              <v:shape id="Shape 18338" style="position:absolute;width:75600;height:16920;left:0;top:0;" coordsize="7560005,1692000" path="m0,0l7560005,0l7560005,1692000l0,1692000l0,0">
                <v:stroke weight="0pt" endcap="flat" joinstyle="miter" miterlimit="10" on="false" color="#000000" opacity="0"/>
                <v:fill on="true" color="#028dcf"/>
              </v:shape>
              <v:shape id="Picture 17674" style="position:absolute;width:75600;height:16920;left:0;top:0;" filled="f">
                <v:imagedata r:id="rId7"/>
              </v:shape>
              <w10:wrap type="square"/>
            </v:group>
          </w:pict>
        </mc:Fallback>
      </mc:AlternateContent>
    </w:r>
  </w:p>
  <w:p w:rsidR="007E562F" w:rsidRDefault="009941CF">
    <w:r>
      <w:rPr>
        <w:rFonts w:ascii="Calibri" w:eastAsia="Calibri" w:hAnsi="Calibri" w:cs="Calibri"/>
        <w:noProof/>
      </w:rPr>
      <mc:AlternateContent>
        <mc:Choice Requires="wpg">
          <w:drawing>
            <wp:anchor distT="0" distB="0" distL="114300" distR="114300" simplePos="0" relativeHeight="251659264" behindDoc="1" locked="0" layoutInCell="1" allowOverlap="1">
              <wp:simplePos x="0" y="0"/>
              <wp:positionH relativeFrom="page">
                <wp:posOffset>0</wp:posOffset>
              </wp:positionH>
              <wp:positionV relativeFrom="page">
                <wp:posOffset>1692000</wp:posOffset>
              </wp:positionV>
              <wp:extent cx="7560001" cy="288000"/>
              <wp:effectExtent l="0" t="0" r="0" b="0"/>
              <wp:wrapNone/>
              <wp:docPr id="17675" name="Group 17675"/>
              <wp:cNvGraphicFramePr/>
              <a:graphic xmlns:a="http://schemas.openxmlformats.org/drawingml/2006/main">
                <a:graphicData uri="http://schemas.microsoft.com/office/word/2010/wordprocessingGroup">
                  <wpg:wgp>
                    <wpg:cNvGrpSpPr/>
                    <wpg:grpSpPr>
                      <a:xfrm>
                        <a:off x="0" y="0"/>
                        <a:ext cx="7560001" cy="288000"/>
                        <a:chOff x="0" y="0"/>
                        <a:chExt cx="7560001" cy="288000"/>
                      </a:xfrm>
                    </wpg:grpSpPr>
                    <wps:wsp>
                      <wps:cNvPr id="18339" name="Shape 18339"/>
                      <wps:cNvSpPr/>
                      <wps:spPr>
                        <a:xfrm>
                          <a:off x="0" y="0"/>
                          <a:ext cx="2520000" cy="288000"/>
                        </a:xfrm>
                        <a:custGeom>
                          <a:avLst/>
                          <a:gdLst/>
                          <a:ahLst/>
                          <a:cxnLst/>
                          <a:rect l="0" t="0" r="0" b="0"/>
                          <a:pathLst>
                            <a:path w="2520000" h="288000">
                              <a:moveTo>
                                <a:pt x="0" y="0"/>
                              </a:moveTo>
                              <a:lnTo>
                                <a:pt x="2520000" y="0"/>
                              </a:lnTo>
                              <a:lnTo>
                                <a:pt x="2520000" y="288000"/>
                              </a:lnTo>
                              <a:lnTo>
                                <a:pt x="0" y="288000"/>
                              </a:lnTo>
                              <a:lnTo>
                                <a:pt x="0" y="0"/>
                              </a:lnTo>
                            </a:path>
                          </a:pathLst>
                        </a:custGeom>
                        <a:ln w="0" cap="flat">
                          <a:miter lim="127000"/>
                        </a:ln>
                      </wps:spPr>
                      <wps:style>
                        <a:lnRef idx="0">
                          <a:srgbClr val="000000">
                            <a:alpha val="0"/>
                          </a:srgbClr>
                        </a:lnRef>
                        <a:fillRef idx="1">
                          <a:srgbClr val="028DCF"/>
                        </a:fillRef>
                        <a:effectRef idx="0">
                          <a:scrgbClr r="0" g="0" b="0"/>
                        </a:effectRef>
                        <a:fontRef idx="none"/>
                      </wps:style>
                      <wps:bodyPr/>
                    </wps:wsp>
                    <wps:wsp>
                      <wps:cNvPr id="18340" name="Shape 18340"/>
                      <wps:cNvSpPr/>
                      <wps:spPr>
                        <a:xfrm>
                          <a:off x="2520000" y="3601"/>
                          <a:ext cx="2520000" cy="284400"/>
                        </a:xfrm>
                        <a:custGeom>
                          <a:avLst/>
                          <a:gdLst/>
                          <a:ahLst/>
                          <a:cxnLst/>
                          <a:rect l="0" t="0" r="0" b="0"/>
                          <a:pathLst>
                            <a:path w="2520000" h="284400">
                              <a:moveTo>
                                <a:pt x="0" y="0"/>
                              </a:moveTo>
                              <a:lnTo>
                                <a:pt x="2520000" y="0"/>
                              </a:lnTo>
                              <a:lnTo>
                                <a:pt x="2520000" y="284400"/>
                              </a:lnTo>
                              <a:lnTo>
                                <a:pt x="0" y="284400"/>
                              </a:lnTo>
                              <a:lnTo>
                                <a:pt x="0" y="0"/>
                              </a:lnTo>
                            </a:path>
                          </a:pathLst>
                        </a:custGeom>
                        <a:ln w="0" cap="flat">
                          <a:miter lim="127000"/>
                        </a:ln>
                      </wps:spPr>
                      <wps:style>
                        <a:lnRef idx="0">
                          <a:srgbClr val="000000">
                            <a:alpha val="0"/>
                          </a:srgbClr>
                        </a:lnRef>
                        <a:fillRef idx="1">
                          <a:srgbClr val="028DCF"/>
                        </a:fillRef>
                        <a:effectRef idx="0">
                          <a:scrgbClr r="0" g="0" b="0"/>
                        </a:effectRef>
                        <a:fontRef idx="none"/>
                      </wps:style>
                      <wps:bodyPr/>
                    </wps:wsp>
                    <pic:pic xmlns:pic="http://schemas.openxmlformats.org/drawingml/2006/picture">
                      <pic:nvPicPr>
                        <pic:cNvPr id="17678" name="Picture 17678"/>
                        <pic:cNvPicPr/>
                      </pic:nvPicPr>
                      <pic:blipFill>
                        <a:blip r:embed="rId8"/>
                        <a:stretch>
                          <a:fillRect/>
                        </a:stretch>
                      </pic:blipFill>
                      <pic:spPr>
                        <a:xfrm>
                          <a:off x="2520000" y="0"/>
                          <a:ext cx="2520000" cy="248054"/>
                        </a:xfrm>
                        <a:prstGeom prst="rect">
                          <a:avLst/>
                        </a:prstGeom>
                      </pic:spPr>
                    </pic:pic>
                    <wps:wsp>
                      <wps:cNvPr id="18341" name="Shape 18341"/>
                      <wps:cNvSpPr/>
                      <wps:spPr>
                        <a:xfrm>
                          <a:off x="5040000" y="0"/>
                          <a:ext cx="2520001" cy="288000"/>
                        </a:xfrm>
                        <a:custGeom>
                          <a:avLst/>
                          <a:gdLst/>
                          <a:ahLst/>
                          <a:cxnLst/>
                          <a:rect l="0" t="0" r="0" b="0"/>
                          <a:pathLst>
                            <a:path w="2520001" h="288000">
                              <a:moveTo>
                                <a:pt x="0" y="0"/>
                              </a:moveTo>
                              <a:lnTo>
                                <a:pt x="2520001" y="0"/>
                              </a:lnTo>
                              <a:lnTo>
                                <a:pt x="2520001" y="288000"/>
                              </a:lnTo>
                              <a:lnTo>
                                <a:pt x="0" y="288000"/>
                              </a:lnTo>
                              <a:lnTo>
                                <a:pt x="0" y="0"/>
                              </a:lnTo>
                            </a:path>
                          </a:pathLst>
                        </a:custGeom>
                        <a:ln w="0" cap="flat">
                          <a:miter lim="127000"/>
                        </a:ln>
                      </wps:spPr>
                      <wps:style>
                        <a:lnRef idx="0">
                          <a:srgbClr val="000000">
                            <a:alpha val="0"/>
                          </a:srgbClr>
                        </a:lnRef>
                        <a:fillRef idx="1">
                          <a:srgbClr val="028DCF"/>
                        </a:fillRef>
                        <a:effectRef idx="0">
                          <a:scrgbClr r="0" g="0" b="0"/>
                        </a:effectRef>
                        <a:fontRef idx="none"/>
                      </wps:style>
                      <wps:bodyPr/>
                    </wps:wsp>
                  </wpg:wgp>
                </a:graphicData>
              </a:graphic>
            </wp:anchor>
          </w:drawing>
        </mc:Choice>
        <mc:Fallback xmlns:a="http://schemas.openxmlformats.org/drawingml/2006/main">
          <w:pict>
            <v:group id="Group 17675" style="width:595.276pt;height:22.6772pt;position:absolute;z-index:-2147483648;mso-position-horizontal-relative:page;mso-position-horizontal:absolute;margin-left:0pt;mso-position-vertical-relative:page;margin-top:133.228pt;" coordsize="75600,2880">
              <v:shape id="Shape 18342" style="position:absolute;width:25200;height:2880;left:0;top:0;" coordsize="2520000,288000" path="m0,0l2520000,0l2520000,288000l0,288000l0,0">
                <v:stroke weight="0pt" endcap="flat" joinstyle="miter" miterlimit="10" on="false" color="#000000" opacity="0"/>
                <v:fill on="true" color="#028dcf"/>
              </v:shape>
              <v:shape id="Shape 18343" style="position:absolute;width:25200;height:2844;left:25200;top:36;" coordsize="2520000,284400" path="m0,0l2520000,0l2520000,284400l0,284400l0,0">
                <v:stroke weight="0pt" endcap="flat" joinstyle="miter" miterlimit="10" on="false" color="#000000" opacity="0"/>
                <v:fill on="true" color="#028dcf"/>
              </v:shape>
              <v:shape id="Picture 17678" style="position:absolute;width:25200;height:2480;left:25200;top:0;" filled="f">
                <v:imagedata r:id="rId9"/>
              </v:shape>
              <v:shape id="Shape 18344" style="position:absolute;width:25200;height:2880;left:50400;top:0;" coordsize="2520001,288000" path="m0,0l2520001,0l2520001,288000l0,288000l0,0">
                <v:stroke weight="0pt" endcap="flat" joinstyle="miter" miterlimit="10" on="false" color="#000000" opacity="0"/>
                <v:fill on="true" color="#028dcf"/>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E562F" w:rsidRDefault="009941CF">
    <w:pPr>
      <w:spacing w:after="0" w:line="259" w:lineRule="auto"/>
      <w:ind w:left="-732" w:right="11232" w:firstLine="0"/>
      <w:jc w:val="left"/>
    </w:pPr>
    <w:r>
      <w:rPr>
        <w:rFonts w:ascii="Calibri" w:eastAsia="Calibri" w:hAnsi="Calibri" w:cs="Calibri"/>
        <w:noProof/>
      </w:rPr>
      <mc:AlternateContent>
        <mc:Choice Requires="wpg">
          <w:drawing>
            <wp:anchor distT="0" distB="0" distL="114300" distR="114300" simplePos="0" relativeHeight="251660288" behindDoc="0" locked="0" layoutInCell="1" allowOverlap="1">
              <wp:simplePos x="0" y="0"/>
              <wp:positionH relativeFrom="page">
                <wp:posOffset>0</wp:posOffset>
              </wp:positionH>
              <wp:positionV relativeFrom="page">
                <wp:posOffset>0</wp:posOffset>
              </wp:positionV>
              <wp:extent cx="7560005" cy="1692000"/>
              <wp:effectExtent l="0" t="0" r="0" b="0"/>
              <wp:wrapSquare wrapText="bothSides"/>
              <wp:docPr id="17649" name="Group 17649"/>
              <wp:cNvGraphicFramePr/>
              <a:graphic xmlns:a="http://schemas.openxmlformats.org/drawingml/2006/main">
                <a:graphicData uri="http://schemas.microsoft.com/office/word/2010/wordprocessingGroup">
                  <wpg:wgp>
                    <wpg:cNvGrpSpPr/>
                    <wpg:grpSpPr>
                      <a:xfrm>
                        <a:off x="0" y="0"/>
                        <a:ext cx="7560005" cy="1692000"/>
                        <a:chOff x="0" y="0"/>
                        <a:chExt cx="7560005" cy="1692000"/>
                      </a:xfrm>
                    </wpg:grpSpPr>
                    <wps:wsp>
                      <wps:cNvPr id="18329" name="Shape 18329"/>
                      <wps:cNvSpPr/>
                      <wps:spPr>
                        <a:xfrm>
                          <a:off x="0" y="0"/>
                          <a:ext cx="7560005" cy="1692000"/>
                        </a:xfrm>
                        <a:custGeom>
                          <a:avLst/>
                          <a:gdLst/>
                          <a:ahLst/>
                          <a:cxnLst/>
                          <a:rect l="0" t="0" r="0" b="0"/>
                          <a:pathLst>
                            <a:path w="7560005" h="1692000">
                              <a:moveTo>
                                <a:pt x="0" y="0"/>
                              </a:moveTo>
                              <a:lnTo>
                                <a:pt x="7560005" y="0"/>
                              </a:lnTo>
                              <a:lnTo>
                                <a:pt x="7560005" y="1692000"/>
                              </a:lnTo>
                              <a:lnTo>
                                <a:pt x="0" y="1692000"/>
                              </a:lnTo>
                              <a:lnTo>
                                <a:pt x="0" y="0"/>
                              </a:lnTo>
                            </a:path>
                          </a:pathLst>
                        </a:custGeom>
                        <a:ln w="0" cap="flat">
                          <a:miter lim="127000"/>
                        </a:ln>
                      </wps:spPr>
                      <wps:style>
                        <a:lnRef idx="0">
                          <a:srgbClr val="000000">
                            <a:alpha val="0"/>
                          </a:srgbClr>
                        </a:lnRef>
                        <a:fillRef idx="1">
                          <a:srgbClr val="028DCF"/>
                        </a:fillRef>
                        <a:effectRef idx="0">
                          <a:scrgbClr r="0" g="0" b="0"/>
                        </a:effectRef>
                        <a:fontRef idx="none"/>
                      </wps:style>
                      <wps:bodyPr/>
                    </wps:wsp>
                    <pic:pic xmlns:pic="http://schemas.openxmlformats.org/drawingml/2006/picture">
                      <pic:nvPicPr>
                        <pic:cNvPr id="17651" name="Picture 17651"/>
                        <pic:cNvPicPr/>
                      </pic:nvPicPr>
                      <pic:blipFill>
                        <a:blip r:embed="rId1"/>
                        <a:stretch>
                          <a:fillRect/>
                        </a:stretch>
                      </pic:blipFill>
                      <pic:spPr>
                        <a:xfrm>
                          <a:off x="3" y="0"/>
                          <a:ext cx="7560000" cy="1692000"/>
                        </a:xfrm>
                        <a:prstGeom prst="rect">
                          <a:avLst/>
                        </a:prstGeom>
                      </pic:spPr>
                    </pic:pic>
                  </wpg:wgp>
                </a:graphicData>
              </a:graphic>
            </wp:anchor>
          </w:drawing>
        </mc:Choice>
        <mc:Fallback xmlns:a="http://schemas.openxmlformats.org/drawingml/2006/main">
          <w:pict>
            <v:group id="Group 17649" style="width:595.276pt;height:133.228pt;position:absolute;mso-position-horizontal-relative:page;mso-position-horizontal:absolute;margin-left:0pt;mso-position-vertical-relative:page;margin-top:-1.52588e-05pt;" coordsize="75600,16920">
              <v:shape id="Shape 18330" style="position:absolute;width:75600;height:16920;left:0;top:0;" coordsize="7560005,1692000" path="m0,0l7560005,0l7560005,1692000l0,1692000l0,0">
                <v:stroke weight="0pt" endcap="flat" joinstyle="miter" miterlimit="10" on="false" color="#000000" opacity="0"/>
                <v:fill on="true" color="#028dcf"/>
              </v:shape>
              <v:shape id="Picture 17651" style="position:absolute;width:75600;height:16920;left:0;top:0;" filled="f">
                <v:imagedata r:id="rId7"/>
              </v:shape>
              <w10:wrap type="square"/>
            </v:group>
          </w:pict>
        </mc:Fallback>
      </mc:AlternateContent>
    </w:r>
  </w:p>
  <w:p w:rsidR="007E562F" w:rsidRDefault="009941CF">
    <w:r>
      <w:rPr>
        <w:rFonts w:ascii="Calibri" w:eastAsia="Calibri" w:hAnsi="Calibri" w:cs="Calibri"/>
        <w:noProof/>
      </w:rPr>
      <mc:AlternateContent>
        <mc:Choice Requires="wpg">
          <w:drawing>
            <wp:anchor distT="0" distB="0" distL="114300" distR="114300" simplePos="0" relativeHeight="251661312" behindDoc="1" locked="0" layoutInCell="1" allowOverlap="1">
              <wp:simplePos x="0" y="0"/>
              <wp:positionH relativeFrom="page">
                <wp:posOffset>0</wp:posOffset>
              </wp:positionH>
              <wp:positionV relativeFrom="page">
                <wp:posOffset>1692000</wp:posOffset>
              </wp:positionV>
              <wp:extent cx="7560001" cy="288000"/>
              <wp:effectExtent l="0" t="0" r="0" b="0"/>
              <wp:wrapNone/>
              <wp:docPr id="17652" name="Group 17652"/>
              <wp:cNvGraphicFramePr/>
              <a:graphic xmlns:a="http://schemas.openxmlformats.org/drawingml/2006/main">
                <a:graphicData uri="http://schemas.microsoft.com/office/word/2010/wordprocessingGroup">
                  <wpg:wgp>
                    <wpg:cNvGrpSpPr/>
                    <wpg:grpSpPr>
                      <a:xfrm>
                        <a:off x="0" y="0"/>
                        <a:ext cx="7560001" cy="288000"/>
                        <a:chOff x="0" y="0"/>
                        <a:chExt cx="7560001" cy="288000"/>
                      </a:xfrm>
                    </wpg:grpSpPr>
                    <wps:wsp>
                      <wps:cNvPr id="18331" name="Shape 18331"/>
                      <wps:cNvSpPr/>
                      <wps:spPr>
                        <a:xfrm>
                          <a:off x="0" y="0"/>
                          <a:ext cx="2520000" cy="288000"/>
                        </a:xfrm>
                        <a:custGeom>
                          <a:avLst/>
                          <a:gdLst/>
                          <a:ahLst/>
                          <a:cxnLst/>
                          <a:rect l="0" t="0" r="0" b="0"/>
                          <a:pathLst>
                            <a:path w="2520000" h="288000">
                              <a:moveTo>
                                <a:pt x="0" y="0"/>
                              </a:moveTo>
                              <a:lnTo>
                                <a:pt x="2520000" y="0"/>
                              </a:lnTo>
                              <a:lnTo>
                                <a:pt x="2520000" y="288000"/>
                              </a:lnTo>
                              <a:lnTo>
                                <a:pt x="0" y="288000"/>
                              </a:lnTo>
                              <a:lnTo>
                                <a:pt x="0" y="0"/>
                              </a:lnTo>
                            </a:path>
                          </a:pathLst>
                        </a:custGeom>
                        <a:ln w="0" cap="flat">
                          <a:miter lim="127000"/>
                        </a:ln>
                      </wps:spPr>
                      <wps:style>
                        <a:lnRef idx="0">
                          <a:srgbClr val="000000">
                            <a:alpha val="0"/>
                          </a:srgbClr>
                        </a:lnRef>
                        <a:fillRef idx="1">
                          <a:srgbClr val="028DCF"/>
                        </a:fillRef>
                        <a:effectRef idx="0">
                          <a:scrgbClr r="0" g="0" b="0"/>
                        </a:effectRef>
                        <a:fontRef idx="none"/>
                      </wps:style>
                      <wps:bodyPr/>
                    </wps:wsp>
                    <wps:wsp>
                      <wps:cNvPr id="18332" name="Shape 18332"/>
                      <wps:cNvSpPr/>
                      <wps:spPr>
                        <a:xfrm>
                          <a:off x="2520000" y="3601"/>
                          <a:ext cx="2520000" cy="284400"/>
                        </a:xfrm>
                        <a:custGeom>
                          <a:avLst/>
                          <a:gdLst/>
                          <a:ahLst/>
                          <a:cxnLst/>
                          <a:rect l="0" t="0" r="0" b="0"/>
                          <a:pathLst>
                            <a:path w="2520000" h="284400">
                              <a:moveTo>
                                <a:pt x="0" y="0"/>
                              </a:moveTo>
                              <a:lnTo>
                                <a:pt x="2520000" y="0"/>
                              </a:lnTo>
                              <a:lnTo>
                                <a:pt x="2520000" y="284400"/>
                              </a:lnTo>
                              <a:lnTo>
                                <a:pt x="0" y="284400"/>
                              </a:lnTo>
                              <a:lnTo>
                                <a:pt x="0" y="0"/>
                              </a:lnTo>
                            </a:path>
                          </a:pathLst>
                        </a:custGeom>
                        <a:ln w="0" cap="flat">
                          <a:miter lim="127000"/>
                        </a:ln>
                      </wps:spPr>
                      <wps:style>
                        <a:lnRef idx="0">
                          <a:srgbClr val="000000">
                            <a:alpha val="0"/>
                          </a:srgbClr>
                        </a:lnRef>
                        <a:fillRef idx="1">
                          <a:srgbClr val="028DCF"/>
                        </a:fillRef>
                        <a:effectRef idx="0">
                          <a:scrgbClr r="0" g="0" b="0"/>
                        </a:effectRef>
                        <a:fontRef idx="none"/>
                      </wps:style>
                      <wps:bodyPr/>
                    </wps:wsp>
                    <pic:pic xmlns:pic="http://schemas.openxmlformats.org/drawingml/2006/picture">
                      <pic:nvPicPr>
                        <pic:cNvPr id="17655" name="Picture 17655"/>
                        <pic:cNvPicPr/>
                      </pic:nvPicPr>
                      <pic:blipFill>
                        <a:blip r:embed="rId8"/>
                        <a:stretch>
                          <a:fillRect/>
                        </a:stretch>
                      </pic:blipFill>
                      <pic:spPr>
                        <a:xfrm>
                          <a:off x="2520000" y="0"/>
                          <a:ext cx="2520000" cy="248054"/>
                        </a:xfrm>
                        <a:prstGeom prst="rect">
                          <a:avLst/>
                        </a:prstGeom>
                      </pic:spPr>
                    </pic:pic>
                    <wps:wsp>
                      <wps:cNvPr id="18333" name="Shape 18333"/>
                      <wps:cNvSpPr/>
                      <wps:spPr>
                        <a:xfrm>
                          <a:off x="5040000" y="0"/>
                          <a:ext cx="2520001" cy="288000"/>
                        </a:xfrm>
                        <a:custGeom>
                          <a:avLst/>
                          <a:gdLst/>
                          <a:ahLst/>
                          <a:cxnLst/>
                          <a:rect l="0" t="0" r="0" b="0"/>
                          <a:pathLst>
                            <a:path w="2520001" h="288000">
                              <a:moveTo>
                                <a:pt x="0" y="0"/>
                              </a:moveTo>
                              <a:lnTo>
                                <a:pt x="2520001" y="0"/>
                              </a:lnTo>
                              <a:lnTo>
                                <a:pt x="2520001" y="288000"/>
                              </a:lnTo>
                              <a:lnTo>
                                <a:pt x="0" y="288000"/>
                              </a:lnTo>
                              <a:lnTo>
                                <a:pt x="0" y="0"/>
                              </a:lnTo>
                            </a:path>
                          </a:pathLst>
                        </a:custGeom>
                        <a:ln w="0" cap="flat">
                          <a:miter lim="127000"/>
                        </a:ln>
                      </wps:spPr>
                      <wps:style>
                        <a:lnRef idx="0">
                          <a:srgbClr val="000000">
                            <a:alpha val="0"/>
                          </a:srgbClr>
                        </a:lnRef>
                        <a:fillRef idx="1">
                          <a:srgbClr val="028DCF"/>
                        </a:fillRef>
                        <a:effectRef idx="0">
                          <a:scrgbClr r="0" g="0" b="0"/>
                        </a:effectRef>
                        <a:fontRef idx="none"/>
                      </wps:style>
                      <wps:bodyPr/>
                    </wps:wsp>
                  </wpg:wgp>
                </a:graphicData>
              </a:graphic>
            </wp:anchor>
          </w:drawing>
        </mc:Choice>
        <mc:Fallback xmlns:a="http://schemas.openxmlformats.org/drawingml/2006/main">
          <w:pict>
            <v:group id="Group 17652" style="width:595.276pt;height:22.6772pt;position:absolute;z-index:-2147483648;mso-position-horizontal-relative:page;mso-position-horizontal:absolute;margin-left:0pt;mso-position-vertical-relative:page;margin-top:133.228pt;" coordsize="75600,2880">
              <v:shape id="Shape 18334" style="position:absolute;width:25200;height:2880;left:0;top:0;" coordsize="2520000,288000" path="m0,0l2520000,0l2520000,288000l0,288000l0,0">
                <v:stroke weight="0pt" endcap="flat" joinstyle="miter" miterlimit="10" on="false" color="#000000" opacity="0"/>
                <v:fill on="true" color="#028dcf"/>
              </v:shape>
              <v:shape id="Shape 18335" style="position:absolute;width:25200;height:2844;left:25200;top:36;" coordsize="2520000,284400" path="m0,0l2520000,0l2520000,284400l0,284400l0,0">
                <v:stroke weight="0pt" endcap="flat" joinstyle="miter" miterlimit="10" on="false" color="#000000" opacity="0"/>
                <v:fill on="true" color="#028dcf"/>
              </v:shape>
              <v:shape id="Picture 17655" style="position:absolute;width:25200;height:2480;left:25200;top:0;" filled="f">
                <v:imagedata r:id="rId9"/>
              </v:shape>
              <v:shape id="Shape 18336" style="position:absolute;width:25200;height:2880;left:50400;top:0;" coordsize="2520001,288000" path="m0,0l2520001,0l2520001,288000l0,288000l0,0">
                <v:stroke weight="0pt" endcap="flat" joinstyle="miter" miterlimit="10" on="false" color="#000000" opacity="0"/>
                <v:fill on="true" color="#028dcf"/>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E562F" w:rsidRDefault="009941CF">
    <w:pPr>
      <w:spacing w:after="0" w:line="259" w:lineRule="auto"/>
      <w:ind w:left="-732" w:right="11232" w:firstLine="0"/>
      <w:jc w:val="left"/>
    </w:pPr>
    <w:r>
      <w:rPr>
        <w:rFonts w:ascii="Calibri" w:eastAsia="Calibri" w:hAnsi="Calibri" w:cs="Calibri"/>
        <w:noProof/>
      </w:rPr>
      <mc:AlternateContent>
        <mc:Choice Requires="wpg">
          <w:drawing>
            <wp:anchor distT="0" distB="0" distL="114300" distR="114300" simplePos="0" relativeHeight="251662336" behindDoc="0" locked="0" layoutInCell="1" allowOverlap="1">
              <wp:simplePos x="0" y="0"/>
              <wp:positionH relativeFrom="page">
                <wp:posOffset>0</wp:posOffset>
              </wp:positionH>
              <wp:positionV relativeFrom="page">
                <wp:posOffset>0</wp:posOffset>
              </wp:positionV>
              <wp:extent cx="7560005" cy="1692000"/>
              <wp:effectExtent l="0" t="0" r="0" b="0"/>
              <wp:wrapSquare wrapText="bothSides"/>
              <wp:docPr id="17626" name="Group 17626"/>
              <wp:cNvGraphicFramePr/>
              <a:graphic xmlns:a="http://schemas.openxmlformats.org/drawingml/2006/main">
                <a:graphicData uri="http://schemas.microsoft.com/office/word/2010/wordprocessingGroup">
                  <wpg:wgp>
                    <wpg:cNvGrpSpPr/>
                    <wpg:grpSpPr>
                      <a:xfrm>
                        <a:off x="0" y="0"/>
                        <a:ext cx="7560005" cy="1692000"/>
                        <a:chOff x="0" y="0"/>
                        <a:chExt cx="7560005" cy="1692000"/>
                      </a:xfrm>
                    </wpg:grpSpPr>
                    <wps:wsp>
                      <wps:cNvPr id="18321" name="Shape 18321"/>
                      <wps:cNvSpPr/>
                      <wps:spPr>
                        <a:xfrm>
                          <a:off x="0" y="0"/>
                          <a:ext cx="7560005" cy="1692000"/>
                        </a:xfrm>
                        <a:custGeom>
                          <a:avLst/>
                          <a:gdLst/>
                          <a:ahLst/>
                          <a:cxnLst/>
                          <a:rect l="0" t="0" r="0" b="0"/>
                          <a:pathLst>
                            <a:path w="7560005" h="1692000">
                              <a:moveTo>
                                <a:pt x="0" y="0"/>
                              </a:moveTo>
                              <a:lnTo>
                                <a:pt x="7560005" y="0"/>
                              </a:lnTo>
                              <a:lnTo>
                                <a:pt x="7560005" y="1692000"/>
                              </a:lnTo>
                              <a:lnTo>
                                <a:pt x="0" y="1692000"/>
                              </a:lnTo>
                              <a:lnTo>
                                <a:pt x="0" y="0"/>
                              </a:lnTo>
                            </a:path>
                          </a:pathLst>
                        </a:custGeom>
                        <a:ln w="0" cap="flat">
                          <a:miter lim="127000"/>
                        </a:ln>
                      </wps:spPr>
                      <wps:style>
                        <a:lnRef idx="0">
                          <a:srgbClr val="000000">
                            <a:alpha val="0"/>
                          </a:srgbClr>
                        </a:lnRef>
                        <a:fillRef idx="1">
                          <a:srgbClr val="028DCF"/>
                        </a:fillRef>
                        <a:effectRef idx="0">
                          <a:scrgbClr r="0" g="0" b="0"/>
                        </a:effectRef>
                        <a:fontRef idx="none"/>
                      </wps:style>
                      <wps:bodyPr/>
                    </wps:wsp>
                    <pic:pic xmlns:pic="http://schemas.openxmlformats.org/drawingml/2006/picture">
                      <pic:nvPicPr>
                        <pic:cNvPr id="17628" name="Picture 17628"/>
                        <pic:cNvPicPr/>
                      </pic:nvPicPr>
                      <pic:blipFill>
                        <a:blip r:embed="rId1"/>
                        <a:stretch>
                          <a:fillRect/>
                        </a:stretch>
                      </pic:blipFill>
                      <pic:spPr>
                        <a:xfrm>
                          <a:off x="3" y="0"/>
                          <a:ext cx="7560000" cy="1692000"/>
                        </a:xfrm>
                        <a:prstGeom prst="rect">
                          <a:avLst/>
                        </a:prstGeom>
                      </pic:spPr>
                    </pic:pic>
                  </wpg:wgp>
                </a:graphicData>
              </a:graphic>
            </wp:anchor>
          </w:drawing>
        </mc:Choice>
        <mc:Fallback xmlns:a="http://schemas.openxmlformats.org/drawingml/2006/main">
          <w:pict>
            <v:group id="Group 17626" style="width:595.276pt;height:133.228pt;position:absolute;mso-position-horizontal-relative:page;mso-position-horizontal:absolute;margin-left:0pt;mso-position-vertical-relative:page;margin-top:-1.52588e-05pt;" coordsize="75600,16920">
              <v:shape id="Shape 18322" style="position:absolute;width:75600;height:16920;left:0;top:0;" coordsize="7560005,1692000" path="m0,0l7560005,0l7560005,1692000l0,1692000l0,0">
                <v:stroke weight="0pt" endcap="flat" joinstyle="miter" miterlimit="10" on="false" color="#000000" opacity="0"/>
                <v:fill on="true" color="#028dcf"/>
              </v:shape>
              <v:shape id="Picture 17628" style="position:absolute;width:75600;height:16920;left:0;top:0;" filled="f">
                <v:imagedata r:id="rId7"/>
              </v:shape>
              <w10:wrap type="square"/>
            </v:group>
          </w:pict>
        </mc:Fallback>
      </mc:AlternateContent>
    </w:r>
  </w:p>
  <w:p w:rsidR="007E562F" w:rsidRDefault="009941CF">
    <w:r>
      <w:rPr>
        <w:rFonts w:ascii="Calibri" w:eastAsia="Calibri" w:hAnsi="Calibri" w:cs="Calibri"/>
        <w:noProof/>
      </w:rPr>
      <mc:AlternateContent>
        <mc:Choice Requires="wpg">
          <w:drawing>
            <wp:anchor distT="0" distB="0" distL="114300" distR="114300" simplePos="0" relativeHeight="251663360" behindDoc="1" locked="0" layoutInCell="1" allowOverlap="1">
              <wp:simplePos x="0" y="0"/>
              <wp:positionH relativeFrom="page">
                <wp:posOffset>0</wp:posOffset>
              </wp:positionH>
              <wp:positionV relativeFrom="page">
                <wp:posOffset>1692000</wp:posOffset>
              </wp:positionV>
              <wp:extent cx="7560001" cy="288000"/>
              <wp:effectExtent l="0" t="0" r="0" b="0"/>
              <wp:wrapNone/>
              <wp:docPr id="17629" name="Group 17629"/>
              <wp:cNvGraphicFramePr/>
              <a:graphic xmlns:a="http://schemas.openxmlformats.org/drawingml/2006/main">
                <a:graphicData uri="http://schemas.microsoft.com/office/word/2010/wordprocessingGroup">
                  <wpg:wgp>
                    <wpg:cNvGrpSpPr/>
                    <wpg:grpSpPr>
                      <a:xfrm>
                        <a:off x="0" y="0"/>
                        <a:ext cx="7560001" cy="288000"/>
                        <a:chOff x="0" y="0"/>
                        <a:chExt cx="7560001" cy="288000"/>
                      </a:xfrm>
                    </wpg:grpSpPr>
                    <wps:wsp>
                      <wps:cNvPr id="18323" name="Shape 18323"/>
                      <wps:cNvSpPr/>
                      <wps:spPr>
                        <a:xfrm>
                          <a:off x="0" y="0"/>
                          <a:ext cx="2520000" cy="288000"/>
                        </a:xfrm>
                        <a:custGeom>
                          <a:avLst/>
                          <a:gdLst/>
                          <a:ahLst/>
                          <a:cxnLst/>
                          <a:rect l="0" t="0" r="0" b="0"/>
                          <a:pathLst>
                            <a:path w="2520000" h="288000">
                              <a:moveTo>
                                <a:pt x="0" y="0"/>
                              </a:moveTo>
                              <a:lnTo>
                                <a:pt x="2520000" y="0"/>
                              </a:lnTo>
                              <a:lnTo>
                                <a:pt x="2520000" y="288000"/>
                              </a:lnTo>
                              <a:lnTo>
                                <a:pt x="0" y="288000"/>
                              </a:lnTo>
                              <a:lnTo>
                                <a:pt x="0" y="0"/>
                              </a:lnTo>
                            </a:path>
                          </a:pathLst>
                        </a:custGeom>
                        <a:ln w="0" cap="flat">
                          <a:miter lim="127000"/>
                        </a:ln>
                      </wps:spPr>
                      <wps:style>
                        <a:lnRef idx="0">
                          <a:srgbClr val="000000">
                            <a:alpha val="0"/>
                          </a:srgbClr>
                        </a:lnRef>
                        <a:fillRef idx="1">
                          <a:srgbClr val="028DCF"/>
                        </a:fillRef>
                        <a:effectRef idx="0">
                          <a:scrgbClr r="0" g="0" b="0"/>
                        </a:effectRef>
                        <a:fontRef idx="none"/>
                      </wps:style>
                      <wps:bodyPr/>
                    </wps:wsp>
                    <wps:wsp>
                      <wps:cNvPr id="18324" name="Shape 18324"/>
                      <wps:cNvSpPr/>
                      <wps:spPr>
                        <a:xfrm>
                          <a:off x="2520000" y="3601"/>
                          <a:ext cx="2520000" cy="284400"/>
                        </a:xfrm>
                        <a:custGeom>
                          <a:avLst/>
                          <a:gdLst/>
                          <a:ahLst/>
                          <a:cxnLst/>
                          <a:rect l="0" t="0" r="0" b="0"/>
                          <a:pathLst>
                            <a:path w="2520000" h="284400">
                              <a:moveTo>
                                <a:pt x="0" y="0"/>
                              </a:moveTo>
                              <a:lnTo>
                                <a:pt x="2520000" y="0"/>
                              </a:lnTo>
                              <a:lnTo>
                                <a:pt x="2520000" y="284400"/>
                              </a:lnTo>
                              <a:lnTo>
                                <a:pt x="0" y="284400"/>
                              </a:lnTo>
                              <a:lnTo>
                                <a:pt x="0" y="0"/>
                              </a:lnTo>
                            </a:path>
                          </a:pathLst>
                        </a:custGeom>
                        <a:ln w="0" cap="flat">
                          <a:miter lim="127000"/>
                        </a:ln>
                      </wps:spPr>
                      <wps:style>
                        <a:lnRef idx="0">
                          <a:srgbClr val="000000">
                            <a:alpha val="0"/>
                          </a:srgbClr>
                        </a:lnRef>
                        <a:fillRef idx="1">
                          <a:srgbClr val="028DCF"/>
                        </a:fillRef>
                        <a:effectRef idx="0">
                          <a:scrgbClr r="0" g="0" b="0"/>
                        </a:effectRef>
                        <a:fontRef idx="none"/>
                      </wps:style>
                      <wps:bodyPr/>
                    </wps:wsp>
                    <pic:pic xmlns:pic="http://schemas.openxmlformats.org/drawingml/2006/picture">
                      <pic:nvPicPr>
                        <pic:cNvPr id="17632" name="Picture 17632"/>
                        <pic:cNvPicPr/>
                      </pic:nvPicPr>
                      <pic:blipFill>
                        <a:blip r:embed="rId8"/>
                        <a:stretch>
                          <a:fillRect/>
                        </a:stretch>
                      </pic:blipFill>
                      <pic:spPr>
                        <a:xfrm>
                          <a:off x="2520000" y="0"/>
                          <a:ext cx="2520000" cy="248054"/>
                        </a:xfrm>
                        <a:prstGeom prst="rect">
                          <a:avLst/>
                        </a:prstGeom>
                      </pic:spPr>
                    </pic:pic>
                    <wps:wsp>
                      <wps:cNvPr id="18325" name="Shape 18325"/>
                      <wps:cNvSpPr/>
                      <wps:spPr>
                        <a:xfrm>
                          <a:off x="5040000" y="0"/>
                          <a:ext cx="2520001" cy="288000"/>
                        </a:xfrm>
                        <a:custGeom>
                          <a:avLst/>
                          <a:gdLst/>
                          <a:ahLst/>
                          <a:cxnLst/>
                          <a:rect l="0" t="0" r="0" b="0"/>
                          <a:pathLst>
                            <a:path w="2520001" h="288000">
                              <a:moveTo>
                                <a:pt x="0" y="0"/>
                              </a:moveTo>
                              <a:lnTo>
                                <a:pt x="2520001" y="0"/>
                              </a:lnTo>
                              <a:lnTo>
                                <a:pt x="2520001" y="288000"/>
                              </a:lnTo>
                              <a:lnTo>
                                <a:pt x="0" y="288000"/>
                              </a:lnTo>
                              <a:lnTo>
                                <a:pt x="0" y="0"/>
                              </a:lnTo>
                            </a:path>
                          </a:pathLst>
                        </a:custGeom>
                        <a:ln w="0" cap="flat">
                          <a:miter lim="127000"/>
                        </a:ln>
                      </wps:spPr>
                      <wps:style>
                        <a:lnRef idx="0">
                          <a:srgbClr val="000000">
                            <a:alpha val="0"/>
                          </a:srgbClr>
                        </a:lnRef>
                        <a:fillRef idx="1">
                          <a:srgbClr val="028DCF"/>
                        </a:fillRef>
                        <a:effectRef idx="0">
                          <a:scrgbClr r="0" g="0" b="0"/>
                        </a:effectRef>
                        <a:fontRef idx="none"/>
                      </wps:style>
                      <wps:bodyPr/>
                    </wps:wsp>
                  </wpg:wgp>
                </a:graphicData>
              </a:graphic>
            </wp:anchor>
          </w:drawing>
        </mc:Choice>
        <mc:Fallback xmlns:a="http://schemas.openxmlformats.org/drawingml/2006/main">
          <w:pict>
            <v:group id="Group 17629" style="width:595.276pt;height:22.6772pt;position:absolute;z-index:-2147483648;mso-position-horizontal-relative:page;mso-position-horizontal:absolute;margin-left:0pt;mso-position-vertical-relative:page;margin-top:133.228pt;" coordsize="75600,2880">
              <v:shape id="Shape 18326" style="position:absolute;width:25200;height:2880;left:0;top:0;" coordsize="2520000,288000" path="m0,0l2520000,0l2520000,288000l0,288000l0,0">
                <v:stroke weight="0pt" endcap="flat" joinstyle="miter" miterlimit="10" on="false" color="#000000" opacity="0"/>
                <v:fill on="true" color="#028dcf"/>
              </v:shape>
              <v:shape id="Shape 18327" style="position:absolute;width:25200;height:2844;left:25200;top:36;" coordsize="2520000,284400" path="m0,0l2520000,0l2520000,284400l0,284400l0,0">
                <v:stroke weight="0pt" endcap="flat" joinstyle="miter" miterlimit="10" on="false" color="#000000" opacity="0"/>
                <v:fill on="true" color="#028dcf"/>
              </v:shape>
              <v:shape id="Picture 17632" style="position:absolute;width:25200;height:2480;left:25200;top:0;" filled="f">
                <v:imagedata r:id="rId9"/>
              </v:shape>
              <v:shape id="Shape 18328" style="position:absolute;width:25200;height:2880;left:50400;top:0;" coordsize="2520001,288000" path="m0,0l2520001,0l2520001,288000l0,288000l0,0">
                <v:stroke weight="0pt" endcap="flat" joinstyle="miter" miterlimit="10" on="false" color="#000000" opacity="0"/>
                <v:fill on="true" color="#028dcf"/>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E92180"/>
    <w:multiLevelType w:val="hybridMultilevel"/>
    <w:tmpl w:val="B1521260"/>
    <w:lvl w:ilvl="0" w:tplc="6CA8D510">
      <w:start w:val="4"/>
      <w:numFmt w:val="upperRoman"/>
      <w:lvlText w:val="%1"/>
      <w:lvlJc w:val="left"/>
      <w:pPr>
        <w:ind w:left="22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2F07362">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40CF80A">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CB02C8E">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E4CFBFC">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9829A32">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F9631B4">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1CABA9A">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A123FB2">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7920EF1"/>
    <w:multiLevelType w:val="hybridMultilevel"/>
    <w:tmpl w:val="ABD0D98A"/>
    <w:lvl w:ilvl="0" w:tplc="194E1A6E">
      <w:start w:val="1"/>
      <w:numFmt w:val="upperRoman"/>
      <w:lvlText w:val="%1"/>
      <w:lvlJc w:val="left"/>
      <w:pPr>
        <w:ind w:left="1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F08710A">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DB81710">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FAE4C72">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B8A28F2">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A08D4E0">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7E62806">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50A3FA6">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99274C8">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7A27A13"/>
    <w:multiLevelType w:val="hybridMultilevel"/>
    <w:tmpl w:val="D53A975C"/>
    <w:lvl w:ilvl="0" w:tplc="09C2BC80">
      <w:start w:val="1"/>
      <w:numFmt w:val="lowerLetter"/>
      <w:lvlText w:val="%1)"/>
      <w:lvlJc w:val="left"/>
      <w:pPr>
        <w:ind w:left="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8A00B76">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29C70F2">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636411C">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ECCF008">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9F8843C">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2A6F40A">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EA0AA40">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2942838">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094C6BFE"/>
    <w:multiLevelType w:val="hybridMultilevel"/>
    <w:tmpl w:val="9D18090E"/>
    <w:lvl w:ilvl="0" w:tplc="C3F4DC52">
      <w:start w:val="2"/>
      <w:numFmt w:val="upperRoman"/>
      <w:lvlText w:val="%1"/>
      <w:lvlJc w:val="left"/>
      <w:pPr>
        <w:ind w:left="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638B950">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27683BE">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12A1E26">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74074E4">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1683AA2">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F9EF6D2">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658759A">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B8A955E">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0B8F1D76"/>
    <w:multiLevelType w:val="hybridMultilevel"/>
    <w:tmpl w:val="F64C5C2C"/>
    <w:lvl w:ilvl="0" w:tplc="665C53F4">
      <w:start w:val="5"/>
      <w:numFmt w:val="upperRoman"/>
      <w:lvlText w:val="%1"/>
      <w:lvlJc w:val="left"/>
      <w:pPr>
        <w:ind w:left="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C1CAFFE">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9120EBA">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6C64796">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442C988">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E0A65AE">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C7CF7FC">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4F0438C">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1365986">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0E2C6950"/>
    <w:multiLevelType w:val="hybridMultilevel"/>
    <w:tmpl w:val="D2F217D8"/>
    <w:lvl w:ilvl="0" w:tplc="2ECEE884">
      <w:start w:val="1"/>
      <w:numFmt w:val="lowerLetter"/>
      <w:lvlText w:val="%1)"/>
      <w:lvlJc w:val="left"/>
      <w:pPr>
        <w:ind w:left="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21A7E72">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CF6E33C">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C0C7164">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A368B24">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4F037BE">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D92B3DC">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F30AC8C">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ACA096C">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0F39298A"/>
    <w:multiLevelType w:val="hybridMultilevel"/>
    <w:tmpl w:val="9D28B2F6"/>
    <w:lvl w:ilvl="0" w:tplc="172C56E6">
      <w:start w:val="1"/>
      <w:numFmt w:val="bullet"/>
      <w:lvlText w:val="•"/>
      <w:lvlJc w:val="left"/>
      <w:pPr>
        <w:ind w:left="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19C43AA">
      <w:start w:val="1"/>
      <w:numFmt w:val="bullet"/>
      <w:lvlText w:val="o"/>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EC6E592">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2583784">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5D60774">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82EB8D0">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94E5BC6">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C249558">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F18A0C4">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12835CAA"/>
    <w:multiLevelType w:val="hybridMultilevel"/>
    <w:tmpl w:val="632A9F3E"/>
    <w:lvl w:ilvl="0" w:tplc="83BAF11A">
      <w:start w:val="1"/>
      <w:numFmt w:val="upperRoman"/>
      <w:lvlText w:val="%1"/>
      <w:lvlJc w:val="left"/>
      <w:pPr>
        <w:ind w:left="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AD45FE8">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A945D64">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9EA3908">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648B41C">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550B63E">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AFCD30A">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498D964">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08A2814">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16A03059"/>
    <w:multiLevelType w:val="hybridMultilevel"/>
    <w:tmpl w:val="F1B8BB7A"/>
    <w:lvl w:ilvl="0" w:tplc="CB287788">
      <w:start w:val="7"/>
      <w:numFmt w:val="lowerLetter"/>
      <w:lvlText w:val="%1)"/>
      <w:lvlJc w:val="left"/>
      <w:pPr>
        <w:ind w:left="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7DA5EBE">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4142FEA">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230EF06">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3681F3E">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7543BD0">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7E08618">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D6A8C0C">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4309BF8">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17CB6A75"/>
    <w:multiLevelType w:val="hybridMultilevel"/>
    <w:tmpl w:val="8DBA84F4"/>
    <w:lvl w:ilvl="0" w:tplc="0D92EF84">
      <w:start w:val="12"/>
      <w:numFmt w:val="upperRoman"/>
      <w:lvlText w:val="%1"/>
      <w:lvlJc w:val="left"/>
      <w:pPr>
        <w:ind w:left="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32AE036">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DEA0486">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506E96E">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8883DA6">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2E44D1C">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47EAC9E">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FBE9CDA">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6B2AAE0">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2C376453"/>
    <w:multiLevelType w:val="hybridMultilevel"/>
    <w:tmpl w:val="2AECF486"/>
    <w:lvl w:ilvl="0" w:tplc="39640BDC">
      <w:start w:val="4"/>
      <w:numFmt w:val="upperRoman"/>
      <w:lvlText w:val="%1"/>
      <w:lvlJc w:val="left"/>
      <w:pPr>
        <w:ind w:left="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CB64502">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1569302">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50EAE1C">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DF4BC3A">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1BC9AAA">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AC09946">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222C1F2">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188F256">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2D4A3996"/>
    <w:multiLevelType w:val="hybridMultilevel"/>
    <w:tmpl w:val="E84C3290"/>
    <w:lvl w:ilvl="0" w:tplc="052248A2">
      <w:start w:val="7"/>
      <w:numFmt w:val="upperRoman"/>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FA44DB4">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B940FDA">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B6E4C5E">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6C61588">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0AE1E64">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B68C032">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DD273A0">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2541D70">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31EA2D8D"/>
    <w:multiLevelType w:val="hybridMultilevel"/>
    <w:tmpl w:val="836E8774"/>
    <w:lvl w:ilvl="0" w:tplc="E16C8554">
      <w:start w:val="1"/>
      <w:numFmt w:val="lowerLetter"/>
      <w:lvlText w:val="%1)"/>
      <w:lvlJc w:val="left"/>
      <w:pPr>
        <w:ind w:left="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8D880EC">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EC09260">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730E7A4">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8A81356">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E5A4BAC">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8B8F7F4">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C26C922">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A88E04A">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34B67B34"/>
    <w:multiLevelType w:val="hybridMultilevel"/>
    <w:tmpl w:val="8D626FBC"/>
    <w:lvl w:ilvl="0" w:tplc="032E723A">
      <w:start w:val="1"/>
      <w:numFmt w:val="upperRoman"/>
      <w:lvlText w:val="%1"/>
      <w:lvlJc w:val="left"/>
      <w:pPr>
        <w:ind w:left="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CF64A7C">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57C4062">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CA23FA4">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1AC68B4">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E0CB676">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2427C76">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A7A65B4">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4B0917E">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3EF45A56"/>
    <w:multiLevelType w:val="hybridMultilevel"/>
    <w:tmpl w:val="D30ACA94"/>
    <w:lvl w:ilvl="0" w:tplc="040A6A90">
      <w:start w:val="1"/>
      <w:numFmt w:val="lowerLetter"/>
      <w:lvlText w:val="%1)"/>
      <w:lvlJc w:val="left"/>
      <w:pPr>
        <w:ind w:left="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40AF1FA">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C368722">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AD02A36">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866A784">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6188EC2">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14096E2">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846641A">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39A2296">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3F013941"/>
    <w:multiLevelType w:val="hybridMultilevel"/>
    <w:tmpl w:val="74009818"/>
    <w:lvl w:ilvl="0" w:tplc="3A541C78">
      <w:start w:val="1"/>
      <w:numFmt w:val="upperRoman"/>
      <w:lvlText w:val="%1"/>
      <w:lvlJc w:val="left"/>
      <w:pPr>
        <w:ind w:left="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934B92C">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F90BE42">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77383698">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580FBC2">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CEAAC2E">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3DAD562">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DA6F27E">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968D52E">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41897688"/>
    <w:multiLevelType w:val="hybridMultilevel"/>
    <w:tmpl w:val="05C82FF4"/>
    <w:lvl w:ilvl="0" w:tplc="2690E2CA">
      <w:start w:val="1"/>
      <w:numFmt w:val="upperRoman"/>
      <w:lvlText w:val="%1"/>
      <w:lvlJc w:val="left"/>
      <w:pPr>
        <w:ind w:left="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7568E86">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4500052">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8B28126">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0463D3E">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44289B8">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F40582A">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FAAE9AC">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BD68CB8">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46C821B1"/>
    <w:multiLevelType w:val="hybridMultilevel"/>
    <w:tmpl w:val="7C00A12A"/>
    <w:lvl w:ilvl="0" w:tplc="77F8F87C">
      <w:start w:val="1"/>
      <w:numFmt w:val="upperRoman"/>
      <w:lvlText w:val="%1"/>
      <w:lvlJc w:val="left"/>
      <w:pPr>
        <w:ind w:left="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9C2DD98">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B9A6D76">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AA25F18">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B0C9AB4">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4BAF8B6">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90687CE">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1003D06">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DDC0142">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51BF4D81"/>
    <w:multiLevelType w:val="hybridMultilevel"/>
    <w:tmpl w:val="1744F986"/>
    <w:lvl w:ilvl="0" w:tplc="4CC80F38">
      <w:start w:val="1"/>
      <w:numFmt w:val="upperRoman"/>
      <w:lvlText w:val="%1"/>
      <w:lvlJc w:val="left"/>
      <w:pPr>
        <w:ind w:left="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B969E1A">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49CC1FE">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572FAC4">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1A8666E">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A68A26A">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E18F430">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598FA1C">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F84F962">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53E11C07"/>
    <w:multiLevelType w:val="hybridMultilevel"/>
    <w:tmpl w:val="C1F68994"/>
    <w:lvl w:ilvl="0" w:tplc="6232910E">
      <w:start w:val="1"/>
      <w:numFmt w:val="upperRoman"/>
      <w:lvlText w:val="%1"/>
      <w:lvlJc w:val="left"/>
      <w:pPr>
        <w:ind w:left="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CA65E40">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E16F3A4">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FE8581E">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3A27FAE">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2CE027A">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D0CAAB2">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EB4F63C">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CA650F6">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5A647114"/>
    <w:multiLevelType w:val="hybridMultilevel"/>
    <w:tmpl w:val="BBC61D26"/>
    <w:lvl w:ilvl="0" w:tplc="BD54D724">
      <w:start w:val="2"/>
      <w:numFmt w:val="upperRoman"/>
      <w:lvlText w:val="%1"/>
      <w:lvlJc w:val="left"/>
      <w:pPr>
        <w:ind w:left="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B2AAE80">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0202FCE">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C601A3E">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D3CE066">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A968BD6">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4E036AA">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950692E">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8FEAE26">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1" w15:restartNumberingAfterBreak="0">
    <w:nsid w:val="5C6F5939"/>
    <w:multiLevelType w:val="hybridMultilevel"/>
    <w:tmpl w:val="40346E56"/>
    <w:lvl w:ilvl="0" w:tplc="3BA6D70E">
      <w:start w:val="1"/>
      <w:numFmt w:val="lowerLetter"/>
      <w:lvlText w:val="%1)"/>
      <w:lvlJc w:val="left"/>
      <w:pPr>
        <w:ind w:left="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FBC6C04">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29466D6">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7D545C18">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5CB89A76">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8FCC840">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42C9D1C">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C28722C">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2FAF878">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5DEC7E74"/>
    <w:multiLevelType w:val="hybridMultilevel"/>
    <w:tmpl w:val="F8846B5E"/>
    <w:lvl w:ilvl="0" w:tplc="6512BBAA">
      <w:start w:val="3"/>
      <w:numFmt w:val="lowerLetter"/>
      <w:lvlText w:val="%1)"/>
      <w:lvlJc w:val="left"/>
      <w:pPr>
        <w:ind w:left="27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F367F76">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0F67E68">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F5CDF82">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9E488AE">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14A3B62">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788B5B8">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4FE9CF0">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05A90A2">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3" w15:restartNumberingAfterBreak="0">
    <w:nsid w:val="67FF5C37"/>
    <w:multiLevelType w:val="hybridMultilevel"/>
    <w:tmpl w:val="C79C65BA"/>
    <w:lvl w:ilvl="0" w:tplc="0A0E2D7E">
      <w:start w:val="1"/>
      <w:numFmt w:val="upperRoman"/>
      <w:lvlText w:val="%1"/>
      <w:lvlJc w:val="left"/>
      <w:pPr>
        <w:ind w:left="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7920A2C">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6E8B58E">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C92C216">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5382F51E">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06A24EC">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96CC45A">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FB68154">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CD8E19A">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4" w15:restartNumberingAfterBreak="0">
    <w:nsid w:val="6CE01025"/>
    <w:multiLevelType w:val="multilevel"/>
    <w:tmpl w:val="401A7DEE"/>
    <w:lvl w:ilvl="0">
      <w:start w:val="1"/>
      <w:numFmt w:val="lowerLetter"/>
      <w:lvlText w:val="%1)"/>
      <w:lvlJc w:val="left"/>
      <w:pPr>
        <w:ind w:left="2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start w:val="1"/>
      <w:numFmt w:val="decimal"/>
      <w:lvlText w:val="%1.%2)"/>
      <w:lvlJc w:val="left"/>
      <w:pPr>
        <w:ind w:left="7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5" w15:restartNumberingAfterBreak="0">
    <w:nsid w:val="6D231C2C"/>
    <w:multiLevelType w:val="hybridMultilevel"/>
    <w:tmpl w:val="E92E0A0C"/>
    <w:lvl w:ilvl="0" w:tplc="E98E849E">
      <w:start w:val="3"/>
      <w:numFmt w:val="lowerLetter"/>
      <w:lvlText w:val="%1)"/>
      <w:lvlJc w:val="left"/>
      <w:pPr>
        <w:ind w:left="22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41EB04A">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97CAB46">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CF422E2">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D6E595E">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754566A">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C3A34D0">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CB88C80">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8AE40F6">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6" w15:restartNumberingAfterBreak="0">
    <w:nsid w:val="6E7439FE"/>
    <w:multiLevelType w:val="hybridMultilevel"/>
    <w:tmpl w:val="148216CC"/>
    <w:lvl w:ilvl="0" w:tplc="EE920CF2">
      <w:start w:val="1"/>
      <w:numFmt w:val="lowerLetter"/>
      <w:lvlText w:val="%1)"/>
      <w:lvlJc w:val="left"/>
      <w:pPr>
        <w:ind w:left="25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C107A58">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12AC21E">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BC2F766">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092C410">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2C4046A">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9389CBA">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356E610">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CD8726C">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7" w15:restartNumberingAfterBreak="0">
    <w:nsid w:val="781A5D3E"/>
    <w:multiLevelType w:val="hybridMultilevel"/>
    <w:tmpl w:val="D190F6EE"/>
    <w:lvl w:ilvl="0" w:tplc="BB6E1ACE">
      <w:start w:val="5"/>
      <w:numFmt w:val="upperRoman"/>
      <w:lvlText w:val="%1"/>
      <w:lvlJc w:val="left"/>
      <w:pPr>
        <w:ind w:left="21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0763460">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73A605C">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630693E">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18206F0">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C0624AC">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EF4D678">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80AC9A6">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89C4490">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8" w15:restartNumberingAfterBreak="0">
    <w:nsid w:val="7881513B"/>
    <w:multiLevelType w:val="hybridMultilevel"/>
    <w:tmpl w:val="FAE4975A"/>
    <w:lvl w:ilvl="0" w:tplc="C502515A">
      <w:start w:val="1"/>
      <w:numFmt w:val="lowerLetter"/>
      <w:lvlText w:val="%1)"/>
      <w:lvlJc w:val="left"/>
      <w:pPr>
        <w:ind w:left="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5B62AA2">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1181CC0">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1F2F90A">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452A1F4">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D86CF40">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5C8025E">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53486D4">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2902850">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1971086679">
    <w:abstractNumId w:val="13"/>
  </w:num>
  <w:num w:numId="2" w16cid:durableId="935282991">
    <w:abstractNumId w:val="16"/>
  </w:num>
  <w:num w:numId="3" w16cid:durableId="88434255">
    <w:abstractNumId w:val="26"/>
  </w:num>
  <w:num w:numId="4" w16cid:durableId="217982227">
    <w:abstractNumId w:val="21"/>
  </w:num>
  <w:num w:numId="5" w16cid:durableId="631524953">
    <w:abstractNumId w:val="18"/>
  </w:num>
  <w:num w:numId="6" w16cid:durableId="1840732264">
    <w:abstractNumId w:val="4"/>
  </w:num>
  <w:num w:numId="7" w16cid:durableId="199977722">
    <w:abstractNumId w:val="14"/>
  </w:num>
  <w:num w:numId="8" w16cid:durableId="80954065">
    <w:abstractNumId w:val="9"/>
  </w:num>
  <w:num w:numId="9" w16cid:durableId="102501266">
    <w:abstractNumId w:val="12"/>
  </w:num>
  <w:num w:numId="10" w16cid:durableId="2039037930">
    <w:abstractNumId w:val="25"/>
  </w:num>
  <w:num w:numId="11" w16cid:durableId="45222921">
    <w:abstractNumId w:val="5"/>
  </w:num>
  <w:num w:numId="12" w16cid:durableId="662970522">
    <w:abstractNumId w:val="6"/>
  </w:num>
  <w:num w:numId="13" w16cid:durableId="1949119812">
    <w:abstractNumId w:val="22"/>
  </w:num>
  <w:num w:numId="14" w16cid:durableId="1978290805">
    <w:abstractNumId w:val="24"/>
  </w:num>
  <w:num w:numId="15" w16cid:durableId="290331766">
    <w:abstractNumId w:val="8"/>
  </w:num>
  <w:num w:numId="16" w16cid:durableId="2050253553">
    <w:abstractNumId w:val="1"/>
  </w:num>
  <w:num w:numId="17" w16cid:durableId="159350768">
    <w:abstractNumId w:val="2"/>
  </w:num>
  <w:num w:numId="18" w16cid:durableId="1103065549">
    <w:abstractNumId w:val="3"/>
  </w:num>
  <w:num w:numId="19" w16cid:durableId="183401972">
    <w:abstractNumId w:val="20"/>
  </w:num>
  <w:num w:numId="20" w16cid:durableId="2137481640">
    <w:abstractNumId w:val="17"/>
  </w:num>
  <w:num w:numId="21" w16cid:durableId="1904482836">
    <w:abstractNumId w:val="15"/>
  </w:num>
  <w:num w:numId="22" w16cid:durableId="1357660702">
    <w:abstractNumId w:val="23"/>
  </w:num>
  <w:num w:numId="23" w16cid:durableId="810172780">
    <w:abstractNumId w:val="0"/>
  </w:num>
  <w:num w:numId="24" w16cid:durableId="177625241">
    <w:abstractNumId w:val="28"/>
  </w:num>
  <w:num w:numId="25" w16cid:durableId="236865379">
    <w:abstractNumId w:val="11"/>
  </w:num>
  <w:num w:numId="26" w16cid:durableId="1059938801">
    <w:abstractNumId w:val="27"/>
  </w:num>
  <w:num w:numId="27" w16cid:durableId="1953245896">
    <w:abstractNumId w:val="19"/>
  </w:num>
  <w:num w:numId="28" w16cid:durableId="850071712">
    <w:abstractNumId w:val="10"/>
  </w:num>
  <w:num w:numId="29" w16cid:durableId="80801107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562F"/>
    <w:rsid w:val="007E562F"/>
    <w:rsid w:val="009941C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D776D13-A295-4D9D-8E08-D1E3E2634F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311" w:lineRule="auto"/>
      <w:ind w:left="10" w:hanging="10"/>
      <w:jc w:val="both"/>
    </w:pPr>
    <w:rPr>
      <w:rFonts w:ascii="Times New Roman" w:eastAsia="Times New Roman" w:hAnsi="Times New Roman" w:cs="Times New Roman"/>
      <w:color w:val="00000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 Id="rId9" Type="http://schemas.openxmlformats.org/officeDocument/2006/relationships/image" Target="media/image20.jpg"/></Relationships>
</file>

<file path=word/_rels/footer2.xml.rels><?xml version="1.0" encoding="UTF-8" standalone="yes"?>
<Relationships xmlns="http://schemas.openxmlformats.org/package/2006/relationships"><Relationship Id="rId1" Type="http://schemas.openxmlformats.org/officeDocument/2006/relationships/image" Target="media/image3.jpg"/><Relationship Id="rId9" Type="http://schemas.openxmlformats.org/officeDocument/2006/relationships/image" Target="media/image20.jpg"/></Relationships>
</file>

<file path=word/_rels/footer3.xml.rels><?xml version="1.0" encoding="UTF-8" standalone="yes"?>
<Relationships xmlns="http://schemas.openxmlformats.org/package/2006/relationships"><Relationship Id="rId1" Type="http://schemas.openxmlformats.org/officeDocument/2006/relationships/image" Target="media/image3.jpg"/><Relationship Id="rId9" Type="http://schemas.openxmlformats.org/officeDocument/2006/relationships/image" Target="media/image20.jpg"/></Relationships>
</file>

<file path=word/_rels/header1.xml.rels><?xml version="1.0" encoding="UTF-8" standalone="yes"?>
<Relationships xmlns="http://schemas.openxmlformats.org/package/2006/relationships"><Relationship Id="rId8" Type="http://schemas.openxmlformats.org/officeDocument/2006/relationships/image" Target="media/image2.jpg"/><Relationship Id="rId7" Type="http://schemas.openxmlformats.org/officeDocument/2006/relationships/image" Target="media/image0.jpg"/><Relationship Id="rId1" Type="http://schemas.openxmlformats.org/officeDocument/2006/relationships/image" Target="media/image1.jpg"/><Relationship Id="rId9" Type="http://schemas.openxmlformats.org/officeDocument/2006/relationships/image" Target="media/image10.jpg"/></Relationships>
</file>

<file path=word/_rels/header2.xml.rels><?xml version="1.0" encoding="UTF-8" standalone="yes"?>
<Relationships xmlns="http://schemas.openxmlformats.org/package/2006/relationships"><Relationship Id="rId8" Type="http://schemas.openxmlformats.org/officeDocument/2006/relationships/image" Target="media/image2.jpg"/><Relationship Id="rId7" Type="http://schemas.openxmlformats.org/officeDocument/2006/relationships/image" Target="media/image0.jpg"/><Relationship Id="rId1" Type="http://schemas.openxmlformats.org/officeDocument/2006/relationships/image" Target="media/image1.jpg"/><Relationship Id="rId9" Type="http://schemas.openxmlformats.org/officeDocument/2006/relationships/image" Target="media/image10.jpg"/></Relationships>
</file>

<file path=word/_rels/header3.xml.rels><?xml version="1.0" encoding="UTF-8" standalone="yes"?>
<Relationships xmlns="http://schemas.openxmlformats.org/package/2006/relationships"><Relationship Id="rId8" Type="http://schemas.openxmlformats.org/officeDocument/2006/relationships/image" Target="media/image2.jpg"/><Relationship Id="rId7" Type="http://schemas.openxmlformats.org/officeDocument/2006/relationships/image" Target="media/image0.jpg"/><Relationship Id="rId1" Type="http://schemas.openxmlformats.org/officeDocument/2006/relationships/image" Target="media/image1.jpg"/><Relationship Id="rId9" Type="http://schemas.openxmlformats.org/officeDocument/2006/relationships/image" Target="media/image10.jp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8199</Words>
  <Characters>44277</Characters>
  <Application>Microsoft Office Word</Application>
  <DocSecurity>4</DocSecurity>
  <Lines>368</Lines>
  <Paragraphs>104</Paragraphs>
  <ScaleCrop>false</ScaleCrop>
  <Company/>
  <LinksUpToDate>false</LinksUpToDate>
  <CharactersWithSpaces>52372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FAST PREV</dc:creator>
  <cp:keywords/>
  <cp:lastModifiedBy>FAST PREV</cp:lastModifiedBy>
  <cp:revision>2</cp:revision>
  <dcterms:created xsi:type="dcterms:W3CDTF">2026-08-19T18:36:00Z</dcterms:created>
  <dcterms:modified xsi:type="dcterms:W3CDTF">2026-08-19T18:36:00Z</dcterms:modified>
</cp:coreProperties>
</file>