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004" w:rsidRDefault="00BD1004">
      <w:pPr>
        <w:spacing w:after="0"/>
        <w:ind w:left="-1440" w:right="10460"/>
      </w:pPr>
    </w:p>
    <w:tbl>
      <w:tblPr>
        <w:tblStyle w:val="TableGrid"/>
        <w:tblW w:w="9874" w:type="dxa"/>
        <w:tblInd w:w="-432" w:type="dxa"/>
        <w:tblCellMar>
          <w:top w:w="0" w:type="dxa"/>
          <w:left w:w="29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432"/>
        <w:gridCol w:w="9442"/>
      </w:tblGrid>
      <w:tr w:rsidR="00BD1004">
        <w:trPr>
          <w:trHeight w:val="288"/>
        </w:trPr>
        <w:tc>
          <w:tcPr>
            <w:tcW w:w="9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DECLARAÇÕES - 2023</w:t>
            </w:r>
          </w:p>
        </w:tc>
      </w:tr>
      <w:tr w:rsidR="00BD1004">
        <w:trPr>
          <w:trHeight w:val="1133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LEGISLAÇÃO: </w:t>
            </w:r>
            <w:r>
              <w:rPr>
                <w:rFonts w:ascii="Arial" w:eastAsia="Arial" w:hAnsi="Arial" w:cs="Arial"/>
                <w:sz w:val="16"/>
              </w:rPr>
              <w:t xml:space="preserve">Os responsáveis técnicos declaram ter pleno conhecimento da legislação municipal vigente, a saber, as Leis </w:t>
            </w:r>
          </w:p>
          <w:p w:rsidR="00BD1004" w:rsidRDefault="00880EEB">
            <w:pPr>
              <w:spacing w:after="0"/>
              <w:ind w:right="71"/>
              <w:jc w:val="both"/>
            </w:pPr>
            <w:r>
              <w:rPr>
                <w:rFonts w:ascii="Arial" w:eastAsia="Arial" w:hAnsi="Arial" w:cs="Arial"/>
                <w:sz w:val="16"/>
              </w:rPr>
              <w:t>Complementares 2932 de 10 de Janeiro de 2019 (Código de Obras Municipal) e 3175/2023 (Lei de Parcelamento, Uso e Ocupação do Solo) e demais leis que regulamentam construções como o Decreto Estadual de Segurança Contra Incêndios das edificações e áreas de r</w:t>
            </w:r>
            <w:r>
              <w:rPr>
                <w:rFonts w:ascii="Arial" w:eastAsia="Arial" w:hAnsi="Arial" w:cs="Arial"/>
                <w:sz w:val="16"/>
              </w:rPr>
              <w:t>isco no Estado de São Paulo, as Leis e Decretos de licenciamentos ambientais, Plano de Proteção de Voo (COMAER), regulamentação da Vigilância Sanitária, Normas Regulamentadoras do Ministério do Trabalho, entre outros.</w:t>
            </w:r>
          </w:p>
        </w:tc>
      </w:tr>
      <w:tr w:rsidR="00BD1004">
        <w:trPr>
          <w:trHeight w:val="1992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197"/>
              <w:ind w:right="297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PROJETO SIMPLIFICADO e ANÁLISE SIMPLIFICADA: </w:t>
            </w:r>
            <w:r>
              <w:rPr>
                <w:rFonts w:ascii="Arial" w:eastAsia="Arial" w:hAnsi="Arial" w:cs="Arial"/>
                <w:sz w:val="16"/>
              </w:rPr>
              <w:t>Com base na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LC 2932/2019, Artigos 12 a 14, Decreto 028/2019 - institui e regulamenta Projeto Simplificado para aprovação de edificações residenciais e não residenciais e no Decreto 272/2019 - institui o procedim</w:t>
            </w:r>
            <w:r>
              <w:rPr>
                <w:rFonts w:ascii="Arial" w:eastAsia="Arial" w:hAnsi="Arial" w:cs="Arial"/>
                <w:sz w:val="16"/>
              </w:rPr>
              <w:t>ento de análise simplificada, aprovação de projeto e concessão de Alvará de Construção neste município, para edificações residenciais e não residenciais de todos os portes, tanto para procedimentos eletrônicos como físicos (impressos), serão realizadas aná</w:t>
            </w:r>
            <w:r>
              <w:rPr>
                <w:rFonts w:ascii="Arial" w:eastAsia="Arial" w:hAnsi="Arial" w:cs="Arial"/>
                <w:sz w:val="16"/>
              </w:rPr>
              <w:t>lises simplificadas apenas sobre os itens especificados nas legislações e decretos citados.</w:t>
            </w:r>
          </w:p>
          <w:p w:rsidR="00BD1004" w:rsidRDefault="00880EEB">
            <w:pPr>
              <w:spacing w:after="0"/>
              <w:ind w:right="43"/>
              <w:jc w:val="both"/>
            </w:pPr>
            <w:r>
              <w:rPr>
                <w:rFonts w:ascii="Arial" w:eastAsia="Arial" w:hAnsi="Arial" w:cs="Arial"/>
                <w:sz w:val="16"/>
              </w:rPr>
              <w:t>Todas as demais exigências legais e informações, além dos itens acima especificados, constantes dos projetos apresentados, serão da exclusiva responsabilidade dos p</w:t>
            </w:r>
            <w:r>
              <w:rPr>
                <w:rFonts w:ascii="Arial" w:eastAsia="Arial" w:hAnsi="Arial" w:cs="Arial"/>
                <w:sz w:val="16"/>
              </w:rPr>
              <w:t xml:space="preserve">rofissionais habilitados que, declaram atendimentos das legislações específicas, suas regulamentações, e das restrições dos loteamentos/condomínios. Os responsáveis técnicos, na forma das leis a que estão submetidos, responderão pelas técnicas e formas de </w:t>
            </w:r>
            <w:r>
              <w:rPr>
                <w:rFonts w:ascii="Arial" w:eastAsia="Arial" w:hAnsi="Arial" w:cs="Arial"/>
                <w:sz w:val="16"/>
              </w:rPr>
              <w:t xml:space="preserve">ocupação adotados no projeto. </w:t>
            </w:r>
          </w:p>
        </w:tc>
      </w:tr>
      <w:tr w:rsidR="00BD1004">
        <w:trPr>
          <w:trHeight w:val="821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317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>REGULARIZAÇÃO OU LEGALIZAÇÃO:</w:t>
            </w:r>
            <w:r>
              <w:rPr>
                <w:rFonts w:ascii="Arial" w:eastAsia="Arial" w:hAnsi="Arial" w:cs="Arial"/>
                <w:sz w:val="16"/>
              </w:rPr>
              <w:t xml:space="preserve"> Quando se tratar de projeto de Regularização ou Legalização, havendo ou não reforma, reparo, intervenções estruturais, os responsáveis técnicos, </w:t>
            </w:r>
            <w:r>
              <w:rPr>
                <w:rFonts w:ascii="Arial" w:eastAsia="Arial" w:hAnsi="Arial" w:cs="Arial"/>
                <w:b/>
                <w:sz w:val="16"/>
              </w:rPr>
              <w:t>declaram mediante a apresentação deste projeto e na assinatura do relatório de projeto que não foram encontrad</w:t>
            </w:r>
            <w:r>
              <w:rPr>
                <w:rFonts w:ascii="Arial" w:eastAsia="Arial" w:hAnsi="Arial" w:cs="Arial"/>
                <w:b/>
                <w:sz w:val="16"/>
              </w:rPr>
              <w:t>as irregularidades que comprometam a estrutura da obra e que o imóvel tem condições de habitabilidade, não oferecendo qualquer tipo de risco aos seus usuários.</w:t>
            </w:r>
          </w:p>
        </w:tc>
      </w:tr>
      <w:tr w:rsidR="00BD1004">
        <w:trPr>
          <w:trHeight w:val="586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128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DIVERGÊNCIAS ENTRE PROPRIETÁRIO E RESPONSÁVEIS TÉCNICOS: </w:t>
            </w:r>
            <w:r>
              <w:rPr>
                <w:rFonts w:ascii="Arial" w:eastAsia="Arial" w:hAnsi="Arial" w:cs="Arial"/>
                <w:sz w:val="16"/>
              </w:rPr>
              <w:t>Quaisquer divergências entre os Resp</w:t>
            </w:r>
            <w:r>
              <w:rPr>
                <w:rFonts w:ascii="Arial" w:eastAsia="Arial" w:hAnsi="Arial" w:cs="Arial"/>
                <w:sz w:val="16"/>
              </w:rPr>
              <w:t xml:space="preserve">onsáveis Técnicos pela Elaboração do Projeto, pela Execução da Obra e Proprietário, deverão ser tratadas e dirimidas no âmbito da Justiça Comum e também junto ao Conselho Regional de Classe a que pertencem estes Profissionais. </w:t>
            </w:r>
          </w:p>
        </w:tc>
      </w:tr>
      <w:tr w:rsidR="00BD1004">
        <w:trPr>
          <w:trHeight w:val="614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APROVAÇÃO EM CONDOMÍNIOS E/OU LOTEAMENTOS COM ASSOCIAÇÃO DE MORADORES:</w:t>
            </w:r>
            <w:r>
              <w:rPr>
                <w:rFonts w:ascii="Arial" w:eastAsia="Arial" w:hAnsi="Arial" w:cs="Arial"/>
                <w:sz w:val="16"/>
              </w:rPr>
              <w:t xml:space="preserve"> Os Responsáveis Técnicos 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ficam cientes que deverão cumprir as exigências impostas pelos mesmos e, quando necessário, aprovar o projeto nas Comissões de 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Obras ou Associações de morador</w:t>
            </w:r>
            <w:r>
              <w:rPr>
                <w:rFonts w:ascii="Arial" w:eastAsia="Arial" w:hAnsi="Arial" w:cs="Arial"/>
                <w:sz w:val="16"/>
              </w:rPr>
              <w:t>es, não sendo necessária a sua apresentação junto à Prefeitura Municipal.</w:t>
            </w:r>
          </w:p>
        </w:tc>
      </w:tr>
      <w:tr w:rsidR="00BD1004">
        <w:trPr>
          <w:trHeight w:val="427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6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DIREITO DE VIZINHANÇA: </w:t>
            </w:r>
            <w:r>
              <w:rPr>
                <w:rFonts w:ascii="Arial" w:eastAsia="Arial" w:hAnsi="Arial" w:cs="Arial"/>
                <w:sz w:val="16"/>
              </w:rPr>
              <w:t>Não haverá abertura de janelas, terraço ou varanda, com recuos inferiores ao estabelecido pelo código civil. Serão atendidas todas as exigências definidas p</w:t>
            </w:r>
            <w:r>
              <w:rPr>
                <w:rFonts w:ascii="Arial" w:eastAsia="Arial" w:hAnsi="Arial" w:cs="Arial"/>
                <w:sz w:val="16"/>
              </w:rPr>
              <w:t>elo Direito de Vizinhança</w:t>
            </w:r>
          </w:p>
        </w:tc>
      </w:tr>
      <w:tr w:rsidR="00BD1004">
        <w:trPr>
          <w:trHeight w:val="418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7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ACESSIBILIDADE:</w:t>
            </w:r>
            <w:r>
              <w:rPr>
                <w:rFonts w:ascii="Arial" w:eastAsia="Arial" w:hAnsi="Arial" w:cs="Arial"/>
                <w:sz w:val="16"/>
              </w:rPr>
              <w:t xml:space="preserve"> Os Responsáveis Técnicos declaram, expressamente, quando aplicável, a edificação atenderá ao disposto nas legislações vigentes quanto à acessibilidade em especial a </w:t>
            </w:r>
            <w:r>
              <w:rPr>
                <w:rFonts w:ascii="Arial" w:eastAsia="Arial" w:hAnsi="Arial" w:cs="Arial"/>
                <w:b/>
                <w:sz w:val="16"/>
              </w:rPr>
              <w:t>NBR 9050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 w:rsidR="00BD1004">
        <w:trPr>
          <w:trHeight w:val="586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8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459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MOVIMENTO DE TERRA: </w:t>
            </w:r>
            <w:r>
              <w:rPr>
                <w:rFonts w:ascii="Arial" w:eastAsia="Arial" w:hAnsi="Arial" w:cs="Arial"/>
                <w:sz w:val="16"/>
              </w:rPr>
              <w:t>Quando necessários os serviços de escavação e aterro, est</w:t>
            </w:r>
            <w:r>
              <w:rPr>
                <w:rFonts w:ascii="Arial" w:eastAsia="Arial" w:hAnsi="Arial" w:cs="Arial"/>
                <w:sz w:val="16"/>
              </w:rPr>
              <w:t>es deverão atender as normas específicas (escavação NBR 9061 e aterro NBR 5681 e NR 18) garantindo a estabilidade do solo e das edificações vizinhas e a segurança dos operários, bem como o atendimento à Lei Municipal 5980/2001.</w:t>
            </w:r>
          </w:p>
        </w:tc>
      </w:tr>
      <w:tr w:rsidR="00BD1004">
        <w:trPr>
          <w:trHeight w:val="605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16"/>
              </w:rPr>
              <w:t>9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95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>LIMPEZA DO TERRENO:</w:t>
            </w:r>
            <w:r>
              <w:rPr>
                <w:rFonts w:ascii="Arial" w:eastAsia="Arial" w:hAnsi="Arial" w:cs="Arial"/>
                <w:sz w:val="16"/>
              </w:rPr>
              <w:t xml:space="preserve"> Ao serem retirados materiais orgânicos (mato) e entulho, deverão ser coletados por empresas especializadas e encaminhadas para áreas especificas destinadas para essa finalidade. A extração de árvores, quando necessário, deverá ser execu</w:t>
            </w:r>
            <w:r>
              <w:rPr>
                <w:rFonts w:ascii="Arial" w:eastAsia="Arial" w:hAnsi="Arial" w:cs="Arial"/>
                <w:sz w:val="16"/>
              </w:rPr>
              <w:t>tada mediante autorização da Secretaria do Meio Ambiente.</w:t>
            </w:r>
          </w:p>
        </w:tc>
      </w:tr>
      <w:tr w:rsidR="00BD1004">
        <w:trPr>
          <w:trHeight w:val="437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CANTEIRO DE OBRAS: </w:t>
            </w:r>
            <w:r>
              <w:rPr>
                <w:rFonts w:ascii="Arial" w:eastAsia="Arial" w:hAnsi="Arial" w:cs="Arial"/>
                <w:sz w:val="16"/>
              </w:rPr>
              <w:t>As instalações de canteiro (depósitos, processamento, tapume) deverão ocorrer exclusivamente dentro dos limites do lote. Quando utilizada parte da calçada deverá atender os ar</w:t>
            </w:r>
            <w:r>
              <w:rPr>
                <w:rFonts w:ascii="Arial" w:eastAsia="Arial" w:hAnsi="Arial" w:cs="Arial"/>
                <w:sz w:val="16"/>
              </w:rPr>
              <w:t>tigos. 24 e 25 da LC 2932/2019.</w:t>
            </w:r>
          </w:p>
        </w:tc>
      </w:tr>
      <w:tr w:rsidR="00BD1004">
        <w:trPr>
          <w:trHeight w:val="758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11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105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>SERVIÇOS GERAIS:</w:t>
            </w:r>
            <w:r>
              <w:rPr>
                <w:rFonts w:ascii="Arial" w:eastAsia="Arial" w:hAnsi="Arial" w:cs="Arial"/>
                <w:sz w:val="16"/>
              </w:rPr>
              <w:t xml:space="preserve"> Os projetos e a execução dos serviços de: Fundação, Superestrutura, Alvenaria e vedação, Forro, Cobertura, Revestimento de paredes e de pisos deverão atender à legislação vigente e normatização específica, notadamente a NBR 15575/2013 Edificações Habitaci</w:t>
            </w:r>
            <w:r>
              <w:rPr>
                <w:rFonts w:ascii="Arial" w:eastAsia="Arial" w:hAnsi="Arial" w:cs="Arial"/>
                <w:sz w:val="16"/>
              </w:rPr>
              <w:t>onais — Desempenho; Parte 1-Requisitos Gerais; Parte 2-Sistemas Estruturais; Parte 3-Pisos; Parte 4-Vedações e Parte 5-Cobertura.</w:t>
            </w:r>
          </w:p>
        </w:tc>
      </w:tr>
      <w:tr w:rsidR="00BD1004">
        <w:trPr>
          <w:trHeight w:val="1637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12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2478"/>
            </w:pPr>
            <w:r>
              <w:rPr>
                <w:rFonts w:ascii="Arial" w:eastAsia="Arial" w:hAnsi="Arial" w:cs="Arial"/>
                <w:b/>
                <w:sz w:val="16"/>
              </w:rPr>
              <w:t>INSTALAÇÕES HIDRÁULICAS E SANITÁRIAS:</w:t>
            </w:r>
            <w:r>
              <w:rPr>
                <w:rFonts w:ascii="Arial" w:eastAsia="Arial" w:hAnsi="Arial" w:cs="Arial"/>
                <w:sz w:val="16"/>
              </w:rPr>
              <w:t xml:space="preserve"> O projeto e execução deverão atender: DECRETO 18/2018 - Regulamento de Serviços do S</w:t>
            </w:r>
            <w:r>
              <w:rPr>
                <w:rFonts w:ascii="Arial" w:eastAsia="Arial" w:hAnsi="Arial" w:cs="Arial"/>
                <w:sz w:val="16"/>
              </w:rPr>
              <w:t xml:space="preserve">AERP. 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NBR 15575-6 Edificações Habitacionais - Desempenho;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NBR 8160 Sistemas Prediais de Esgoto Sanitário - Projeto e Execução;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NBR 5626 - Instalações Prediais de Água Fria;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Normas específicas da ABNT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Quando a área de serviço for descoberta deverá ser prev</w:t>
            </w:r>
            <w:r>
              <w:rPr>
                <w:rFonts w:ascii="Arial" w:eastAsia="Arial" w:hAnsi="Arial" w:cs="Arial"/>
                <w:sz w:val="16"/>
              </w:rPr>
              <w:t>isto telheiro sobre o tanque.</w:t>
            </w:r>
          </w:p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Fica expressamente VEDADA  a interconexão de Águas Pluviais no Sistema de Esgotos Sanitários e vice-versa.</w:t>
            </w:r>
          </w:p>
        </w:tc>
      </w:tr>
      <w:tr w:rsidR="00BD1004">
        <w:trPr>
          <w:trHeight w:val="427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13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INSTALAÇÕES ELÉTRICAS:</w:t>
            </w:r>
            <w:r>
              <w:rPr>
                <w:rFonts w:ascii="Arial" w:eastAsia="Arial" w:hAnsi="Arial" w:cs="Arial"/>
                <w:sz w:val="16"/>
              </w:rPr>
              <w:t xml:space="preserve"> Deverão ser projetadas e executadas de acordo com </w:t>
            </w:r>
            <w:r>
              <w:rPr>
                <w:rFonts w:ascii="Arial" w:eastAsia="Arial" w:hAnsi="Arial" w:cs="Arial"/>
                <w:b/>
                <w:sz w:val="16"/>
              </w:rPr>
              <w:t>NBR 5410</w:t>
            </w:r>
            <w:r>
              <w:rPr>
                <w:rFonts w:ascii="Arial" w:eastAsia="Arial" w:hAnsi="Arial" w:cs="Arial"/>
                <w:sz w:val="16"/>
              </w:rPr>
              <w:t xml:space="preserve"> e Normas da CPFL. Dotada de sistema de aterramento (condutor terra) conforme </w:t>
            </w:r>
            <w:r>
              <w:rPr>
                <w:rFonts w:ascii="Arial" w:eastAsia="Arial" w:hAnsi="Arial" w:cs="Arial"/>
                <w:b/>
                <w:sz w:val="16"/>
              </w:rPr>
              <w:t>Lei Federal 11337/2006</w:t>
            </w:r>
            <w:r>
              <w:rPr>
                <w:rFonts w:ascii="Arial" w:eastAsia="Arial" w:hAnsi="Arial" w:cs="Arial"/>
                <w:sz w:val="16"/>
              </w:rPr>
              <w:t>.</w:t>
            </w:r>
          </w:p>
        </w:tc>
      </w:tr>
      <w:tr w:rsidR="00BD1004">
        <w:trPr>
          <w:trHeight w:val="437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14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ILUMINAÇÃO E VENTILAÇÃO:</w:t>
            </w:r>
            <w:r>
              <w:rPr>
                <w:rFonts w:ascii="Arial" w:eastAsia="Arial" w:hAnsi="Arial" w:cs="Arial"/>
                <w:sz w:val="16"/>
              </w:rPr>
              <w:t xml:space="preserve"> Os ambientes cujas condições de iluminação e ventilação são insufi</w:t>
            </w:r>
            <w:r>
              <w:rPr>
                <w:rFonts w:ascii="Arial" w:eastAsia="Arial" w:hAnsi="Arial" w:cs="Arial"/>
                <w:sz w:val="16"/>
              </w:rPr>
              <w:t>cientes serão suplementadas por meios mecânicos e artificais, conforme LC 2932/2019.</w:t>
            </w:r>
          </w:p>
        </w:tc>
      </w:tr>
      <w:tr w:rsidR="00BD1004">
        <w:trPr>
          <w:trHeight w:val="437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15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TAXA DE PERMEABILIDADE, CAIXA DE RETENÇÃO / INFILTRAÇÃO DE ÁGUAS PLUVIAIS:</w:t>
            </w:r>
            <w:r>
              <w:rPr>
                <w:rFonts w:ascii="Arial" w:eastAsia="Arial" w:hAnsi="Arial" w:cs="Arial"/>
                <w:sz w:val="16"/>
              </w:rPr>
              <w:t xml:space="preserve"> Atenderá conforme disposto na LC 3175/2023 (Lei de Uso de Parcelamento do Solo), LC 2932/2019 e outras legislações pertinentes e suas regulamentações.</w:t>
            </w:r>
          </w:p>
        </w:tc>
      </w:tr>
      <w:tr w:rsidR="00BD1004">
        <w:trPr>
          <w:trHeight w:val="850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16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ind w:right="58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CALÇADA E PASSEIO PÚBLICO: </w:t>
            </w:r>
            <w:r>
              <w:rPr>
                <w:rFonts w:ascii="Arial" w:eastAsia="Arial" w:hAnsi="Arial" w:cs="Arial"/>
                <w:sz w:val="16"/>
              </w:rPr>
              <w:t xml:space="preserve">Conforme </w:t>
            </w:r>
            <w:r>
              <w:rPr>
                <w:rFonts w:ascii="Arial" w:eastAsia="Arial" w:hAnsi="Arial" w:cs="Arial"/>
                <w:b/>
                <w:sz w:val="16"/>
              </w:rPr>
              <w:t>Lei Municipal 9384/01</w:t>
            </w:r>
            <w:r>
              <w:rPr>
                <w:rFonts w:ascii="Arial" w:eastAsia="Arial" w:hAnsi="Arial" w:cs="Arial"/>
                <w:sz w:val="16"/>
              </w:rPr>
              <w:t xml:space="preserve"> e </w:t>
            </w:r>
            <w:r>
              <w:rPr>
                <w:rFonts w:ascii="Arial" w:eastAsia="Arial" w:hAnsi="Arial" w:cs="Arial"/>
                <w:b/>
                <w:sz w:val="16"/>
              </w:rPr>
              <w:t>NBR 9050</w:t>
            </w:r>
            <w:r>
              <w:rPr>
                <w:rFonts w:ascii="Arial" w:eastAsia="Arial" w:hAnsi="Arial" w:cs="Arial"/>
                <w:sz w:val="16"/>
              </w:rPr>
              <w:t>, o piso do passeio público será</w:t>
            </w:r>
            <w:r>
              <w:rPr>
                <w:rFonts w:ascii="Arial" w:eastAsia="Arial" w:hAnsi="Arial" w:cs="Arial"/>
                <w:sz w:val="16"/>
              </w:rPr>
              <w:t xml:space="preserve"> firme, antiderrapante, com inclinação transversal máxima de 3%. Todos os obstáculos, mobiliários urbanos e rebaixamentos de guia serão providos de piso tátil. O rebaixamento de guia atenderá o disposto na LC 2932/2019. A calçada obedecerá a largura especi</w:t>
            </w:r>
            <w:r>
              <w:rPr>
                <w:rFonts w:ascii="Arial" w:eastAsia="Arial" w:hAnsi="Arial" w:cs="Arial"/>
                <w:sz w:val="16"/>
              </w:rPr>
              <w:t>ficada no loteamento, em projeto urbanístico aprovado na PMRP.</w:t>
            </w:r>
          </w:p>
        </w:tc>
      </w:tr>
      <w:tr w:rsidR="00BD1004">
        <w:trPr>
          <w:trHeight w:val="418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17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>PLANTIO DE ÁRVORES:</w:t>
            </w:r>
            <w:r>
              <w:rPr>
                <w:rFonts w:ascii="Arial" w:eastAsia="Arial" w:hAnsi="Arial" w:cs="Arial"/>
                <w:sz w:val="16"/>
              </w:rPr>
              <w:t xml:space="preserve"> Conforme </w:t>
            </w:r>
            <w:r>
              <w:rPr>
                <w:rFonts w:ascii="Arial" w:eastAsia="Arial" w:hAnsi="Arial" w:cs="Arial"/>
                <w:b/>
                <w:sz w:val="16"/>
              </w:rPr>
              <w:t>Lei Municipal 9437/01</w:t>
            </w:r>
            <w:r>
              <w:rPr>
                <w:rFonts w:ascii="Arial" w:eastAsia="Arial" w:hAnsi="Arial" w:cs="Arial"/>
                <w:sz w:val="16"/>
              </w:rPr>
              <w:t>, ficam os proprietários obrigados a plantar e manter sob seus cuidados no mínimo 01 (uma) árvore defronte sua propriedade.</w:t>
            </w:r>
          </w:p>
        </w:tc>
      </w:tr>
      <w:tr w:rsidR="00BD1004">
        <w:trPr>
          <w:trHeight w:val="398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18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CAIXA DE CORRESPONDÊNCIA: </w:t>
            </w:r>
            <w:r>
              <w:rPr>
                <w:rFonts w:ascii="Arial" w:eastAsia="Arial" w:hAnsi="Arial" w:cs="Arial"/>
                <w:sz w:val="16"/>
              </w:rPr>
              <w:t xml:space="preserve">Conforme </w:t>
            </w:r>
            <w:r>
              <w:rPr>
                <w:rFonts w:ascii="Arial" w:eastAsia="Arial" w:hAnsi="Arial" w:cs="Arial"/>
                <w:b/>
                <w:sz w:val="16"/>
              </w:rPr>
              <w:t>Lei Municipal 132/1992</w:t>
            </w:r>
            <w:r>
              <w:rPr>
                <w:rFonts w:ascii="Arial" w:eastAsia="Arial" w:hAnsi="Arial" w:cs="Arial"/>
                <w:sz w:val="16"/>
              </w:rPr>
              <w:t>, deverá ser instalada caixa de correspondência com acesso externo ao a</w:t>
            </w:r>
            <w:r>
              <w:rPr>
                <w:rFonts w:ascii="Arial" w:eastAsia="Arial" w:hAnsi="Arial" w:cs="Arial"/>
                <w:sz w:val="16"/>
              </w:rPr>
              <w:t>linhamento.</w:t>
            </w:r>
          </w:p>
        </w:tc>
      </w:tr>
      <w:tr w:rsidR="00BD1004">
        <w:trPr>
          <w:trHeight w:val="850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lastRenderedPageBreak/>
              <w:t>19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right="128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 xml:space="preserve">PISCINAS: </w:t>
            </w:r>
            <w:r>
              <w:rPr>
                <w:rFonts w:ascii="Arial" w:eastAsia="Arial" w:hAnsi="Arial" w:cs="Arial"/>
                <w:sz w:val="16"/>
              </w:rPr>
              <w:t>Atenderá conforme disposto na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Lei Federal 14327/2022</w:t>
            </w:r>
            <w:r>
              <w:rPr>
                <w:rFonts w:ascii="Arial" w:eastAsia="Arial" w:hAnsi="Arial" w:cs="Arial"/>
                <w:sz w:val="16"/>
              </w:rPr>
              <w:t xml:space="preserve"> que dispõe sobre os requisitos mínimos de segurança para piscinas e se responsabilizará em caso de descumprimento e atendenderá integralmente às normas sanitárias e de segurança</w:t>
            </w:r>
            <w:r>
              <w:rPr>
                <w:rFonts w:ascii="Arial" w:eastAsia="Arial" w:hAnsi="Arial" w:cs="Arial"/>
                <w:sz w:val="16"/>
              </w:rPr>
              <w:t xml:space="preserve"> definidas em regulamento. Também atenderá a </w:t>
            </w:r>
            <w:r>
              <w:rPr>
                <w:rFonts w:ascii="Arial" w:eastAsia="Arial" w:hAnsi="Arial" w:cs="Arial"/>
                <w:b/>
                <w:sz w:val="16"/>
              </w:rPr>
              <w:t>NBR 9050</w:t>
            </w:r>
            <w:r>
              <w:rPr>
                <w:rFonts w:ascii="Arial" w:eastAsia="Arial" w:hAnsi="Arial" w:cs="Arial"/>
                <w:sz w:val="16"/>
              </w:rPr>
              <w:t xml:space="preserve"> e </w:t>
            </w:r>
            <w:r>
              <w:rPr>
                <w:rFonts w:ascii="Arial" w:eastAsia="Arial" w:hAnsi="Arial" w:cs="Arial"/>
                <w:b/>
                <w:sz w:val="16"/>
              </w:rPr>
              <w:t>Decreto Estadual SP 13166/1979</w:t>
            </w:r>
            <w:r>
              <w:rPr>
                <w:rFonts w:ascii="Arial" w:eastAsia="Arial" w:hAnsi="Arial" w:cs="Arial"/>
                <w:sz w:val="16"/>
              </w:rPr>
              <w:t xml:space="preserve"> em casos de piscina de uso público/coletivo.</w:t>
            </w:r>
          </w:p>
        </w:tc>
      </w:tr>
      <w:tr w:rsidR="00BD1004">
        <w:trPr>
          <w:trHeight w:val="418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1004" w:rsidRDefault="00880EEB">
            <w:pPr>
              <w:spacing w:after="0"/>
              <w:ind w:left="101"/>
            </w:pPr>
            <w:r>
              <w:rPr>
                <w:rFonts w:ascii="Arial" w:eastAsia="Arial" w:hAnsi="Arial" w:cs="Arial"/>
                <w:sz w:val="16"/>
              </w:rPr>
              <w:t>20</w:t>
            </w:r>
          </w:p>
        </w:tc>
        <w:tc>
          <w:tcPr>
            <w:tcW w:w="9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1004" w:rsidRDefault="00880EEB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6"/>
              </w:rPr>
              <w:t xml:space="preserve">Todas as Leis e Normas relacionadas neste memorial deverão ser substituídas pelas alterações que lhes forem aplicadas ou Leis e Normas que venham substituí-las. </w:t>
            </w:r>
          </w:p>
        </w:tc>
      </w:tr>
    </w:tbl>
    <w:p w:rsidR="00000000" w:rsidRDefault="00880EEB"/>
    <w:sectPr w:rsidR="00000000">
      <w:pgSz w:w="11900" w:h="16840"/>
      <w:pgMar w:top="1085" w:right="1440" w:bottom="12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004"/>
    <w:rsid w:val="00880EEB"/>
    <w:rsid w:val="00BD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1070</Words>
  <Characters>5778</Characters>
  <Application>Microsoft Office Word</Application>
  <DocSecurity>4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Declarações Padrão 2023</dc:title>
  <dc:subject/>
  <dc:creator>aspinto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