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0A88" w:rsidRDefault="001362E6">
      <w:pPr>
        <w:spacing w:after="222" w:line="259" w:lineRule="auto"/>
        <w:ind w:left="0" w:firstLine="0"/>
        <w:jc w:val="left"/>
      </w:pPr>
      <w:r>
        <w:rPr>
          <w:b/>
        </w:rPr>
        <w:t xml:space="preserve">LEI COMPLEMENTAR Nº 749, DE 23 DE MARÇO DE 2010.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DISPÕE SOBRE O CÓDIGO DE PARCELAMENTO DO SOLO PARA FINS URBANOS NO MUNICÍPIO DE BLUMENAU E DÁ OUTRAS PROVIDÊNCIAS.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JOÃO PAULO KLEINÜBING, Prefeito Municipal de Blumenau. Faço saber a todos os habitantes deste Município que a Câmara Municipal aprovou e</w:t>
      </w:r>
      <w:r>
        <w:t xml:space="preserve"> eu sanciono e promulgo a seguinte Lei Complementar: </w:t>
      </w:r>
    </w:p>
    <w:p w:rsidR="00B90A88" w:rsidRDefault="001362E6">
      <w:pPr>
        <w:spacing w:after="2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4"/>
      </w:pPr>
      <w:r>
        <w:t xml:space="preserve">Capítulo I DAS DISPOSIÇÕES PRELIMINARES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1º</w:t>
      </w:r>
      <w:r>
        <w:t xml:space="preserve"> Este Código de Parcelamento estabelece normas disciplinadoras em seus aspectos técnicos, a serem obedecidas na elaboração de projetos de parcelamen</w:t>
      </w:r>
      <w:r>
        <w:t>to do solo urbano, observadas as diretrizes de desenvolvimento, de acordo com o Título III do Plano Diretor, Lei Complementar nº</w:t>
      </w:r>
      <w:hyperlink r:id="rId7">
        <w:r>
          <w:t xml:space="preserve"> </w:t>
        </w:r>
      </w:hyperlink>
      <w:hyperlink r:id="rId8">
        <w:r>
          <w:rPr>
            <w:u w:val="single" w:color="000000"/>
          </w:rPr>
          <w:t>615</w:t>
        </w:r>
      </w:hyperlink>
      <w:hyperlink r:id="rId9">
        <w:r>
          <w:t>,</w:t>
        </w:r>
      </w:hyperlink>
      <w:r>
        <w:t xml:space="preserve"> de 15 </w:t>
      </w:r>
      <w:r>
        <w:t xml:space="preserve">de dezembro de 2006.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4"/>
        <w:ind w:left="-5"/>
      </w:pPr>
      <w:r>
        <w:t>Parágrafo Único - A aplicação deste Código dar-se-á sem prejuízo de outras normas específicas de âmbito federal, estadual ou municipal que com ela sejam compatíveis, notadamente a legislação ambiental, respeitada as competências con</w:t>
      </w:r>
      <w:r>
        <w:t xml:space="preserve">stitucionais de cada ente federativo.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1"/>
      </w:pPr>
      <w:r>
        <w:t xml:space="preserve">Capítulo II DO PARCELAMENTO DO SOLO PARA FINS URBANOS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2º</w:t>
      </w:r>
      <w:r>
        <w:t xml:space="preserve"> O parcelamento do solo urbano poderá ser feito mediante desmembramento e loteamento.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3º</w:t>
      </w:r>
      <w:r>
        <w:t xml:space="preserve"> </w:t>
      </w:r>
      <w:r>
        <w:t xml:space="preserve">Para os efeitos desta Lei, considera-se: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t>- loteamento: a divisão da gleba em lotes destinados à edificação, com abertura de novas vias públicas ou logradouros públicos, ou com prolongamento, modificação ou ampliação das vias públicas ou logradouros públ</w:t>
      </w:r>
      <w:r>
        <w:t xml:space="preserve">icos existentes;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t>- desmembramento: a divisão ou subdivisão de gleba em lotes destinados à edificação, com aproveitamento do sistema viário existente, desde que não implique na abertura de novas vias e logradouros públicos, nem no prolongamento, modifica</w:t>
      </w:r>
      <w:r>
        <w:t xml:space="preserve">ção ou ampliação das já existentes;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t xml:space="preserve">- aditamento - ato ou efeito de somar medidas ou áreas em título de propriedade;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lastRenderedPageBreak/>
        <w:t>- áreas destinadas a uso público: aquelas referentes ao sistema de circulação e outros logradouros públicos e à implantação de equipa</w:t>
      </w:r>
      <w:r>
        <w:t xml:space="preserve">mentos urbanos e comunitários;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t xml:space="preserve">- áreas verdes: aquelas onde há predomínio de vegetação arbórea que exercem apenas funções estéticas e ecológicas;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t xml:space="preserve">- equipamentos comunitários: destinados a educação, cultura, saúde, segurança, esporte, lazer, convívio </w:t>
      </w:r>
      <w:r>
        <w:t xml:space="preserve">social e similares;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"/>
        </w:numPr>
        <w:ind w:hanging="312"/>
      </w:pPr>
      <w:r>
        <w:t xml:space="preserve">- Equipamento urbano, dividido em: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"/>
        </w:numPr>
      </w:pPr>
      <w:r>
        <w:t xml:space="preserve">infraestrutura básica: os equipamentos de abastecimento de água potável, disposição adequada de esgoto sanitário, sistema de manejo de águas pluviais, iluminação e pavimentação pública;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"/>
        </w:numPr>
      </w:pPr>
      <w:r>
        <w:t>infraestrutura complementar: distribuição de energia elétrica, rede</w:t>
      </w:r>
      <w:r>
        <w:t xml:space="preserve"> de telefonia, rede de fibra ótica e outras redes de comunicação, rede de gás canalizado e outros elementos não contemplados na infraestrutura básica;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VIII - empreendedor: o proprietário do imóvel ou pessoa por ele designada na forma da lei, responsável</w:t>
      </w:r>
      <w:r>
        <w:t xml:space="preserve"> pela implantação do parcelamento.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209" w:line="268" w:lineRule="auto"/>
        <w:ind w:left="-5"/>
      </w:pPr>
      <w:r>
        <w:rPr>
          <w:color w:val="FF0000"/>
        </w:rPr>
        <w:t xml:space="preserve">Parágrafo Único - O loteamento, conforme o uso poderá ser: </w:t>
      </w:r>
    </w:p>
    <w:p w:rsidR="00B90A88" w:rsidRDefault="001362E6">
      <w:pPr>
        <w:numPr>
          <w:ilvl w:val="0"/>
          <w:numId w:val="3"/>
        </w:numPr>
        <w:spacing w:after="209" w:line="268" w:lineRule="auto"/>
      </w:pPr>
      <w:r>
        <w:rPr>
          <w:color w:val="FF0000"/>
        </w:rPr>
        <w:t xml:space="preserve">- residencial - </w:t>
      </w:r>
      <w:r>
        <w:rPr>
          <w:color w:val="FF0000"/>
        </w:rPr>
        <w:t xml:space="preserve">aqueles destinados ao uso residencial, onde a implantação de atividades comerciais e de serviços são permitidas conforme Código de Zoneamento e Uso do Solo; </w:t>
      </w:r>
    </w:p>
    <w:p w:rsidR="00B90A88" w:rsidRDefault="001362E6">
      <w:pPr>
        <w:numPr>
          <w:ilvl w:val="0"/>
          <w:numId w:val="3"/>
        </w:numPr>
        <w:spacing w:after="209" w:line="268" w:lineRule="auto"/>
      </w:pPr>
      <w:r>
        <w:rPr>
          <w:color w:val="FF0000"/>
        </w:rPr>
        <w:t>- industrial - aqueles destinados exclusivamente ao uso industrial e/ou suas atividades complement</w:t>
      </w:r>
      <w:r>
        <w:rPr>
          <w:color w:val="FF0000"/>
        </w:rPr>
        <w:t xml:space="preserve">ares. </w:t>
      </w:r>
    </w:p>
    <w:p w:rsidR="00B90A88" w:rsidRDefault="001362E6">
      <w:pPr>
        <w:ind w:left="-5"/>
      </w:pPr>
      <w:r>
        <w:rPr>
          <w:b/>
        </w:rPr>
        <w:t>Art. 4º</w:t>
      </w:r>
      <w:r>
        <w:t xml:space="preserve"> O parcelamento do solo para fins urbanos será permitido somente no perímetro urbano. 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5º</w:t>
      </w:r>
      <w:r>
        <w:t xml:space="preserve"> O parcelamento do solo de imóveis localizados fora do perímetro urbano devem atender a legislação que lhe é própria. </w:t>
      </w:r>
    </w:p>
    <w:p w:rsidR="00B90A88" w:rsidRDefault="001362E6">
      <w:pPr>
        <w:spacing w:after="2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4"/>
      </w:pPr>
      <w:r>
        <w:t>Capítulo III DA DIRETRIZ</w:t>
      </w:r>
      <w:r>
        <w:t xml:space="preserve"> GERAL PARA PARCELAMENTO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6º</w:t>
      </w:r>
      <w:r>
        <w:t xml:space="preserve"> O parcelamento deverá ser projetado objetivando o desenvolvimento urbano integrado, de modo a se obter conjuntos urbanos incorporados ao sistema de circulação e aos logradouros, em função da sua localização, destino e us</w:t>
      </w:r>
      <w:r>
        <w:t xml:space="preserve">o, harmonizando-se com a topografia local. </w:t>
      </w:r>
    </w:p>
    <w:p w:rsidR="00B90A88" w:rsidRDefault="001362E6">
      <w:pPr>
        <w:ind w:left="-5"/>
      </w:pPr>
      <w:r>
        <w:lastRenderedPageBreak/>
        <w:t>Parágrafo Único - As informações necessárias para a incorporação do parcelamento ao sistema de circulação e logradouros públicos serão fornecidas pelo órgão municipal competente, quando da consulta de viabilidade</w:t>
      </w:r>
      <w:r>
        <w:t xml:space="preserve">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7º</w:t>
      </w:r>
      <w:r>
        <w:t xml:space="preserve"> As áreas úteis mínimas dos lotes e dimensões das testadas permitidas nos parcelamentos para fins de edificação serão de conformidade com o Anexo I. 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1º Considera-se área útil do lote sua área total subtraída das áreas destinadas à APP e A</w:t>
      </w:r>
      <w:r>
        <w:t xml:space="preserve">NEA.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§ 2º Nos projetos de parcelamento poderão ser admitidas parcelas com testadas mínimas de cinco (05) metros e em número não superior a: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4"/>
        </w:numPr>
        <w:ind w:hanging="115"/>
      </w:pPr>
      <w:r>
        <w:t xml:space="preserve">- </w:t>
      </w:r>
      <w:r>
        <w:t xml:space="preserve">duas (02) parcelas, desde que o parcelamento gere no máximo dez (10) lotes;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4"/>
        </w:numPr>
        <w:ind w:hanging="115"/>
      </w:pPr>
      <w:r>
        <w:t xml:space="preserve">- vinte por cento (20%) do total das parcelas, desde que o parcelamento gere um número de parcelas maior que dez (10). 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3º O cálculo dos 20% (vinte por cento) referido no p</w:t>
      </w:r>
      <w:r>
        <w:t xml:space="preserve">arágrafo anterior, quando o produto resultar: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5"/>
        </w:numPr>
      </w:pPr>
      <w:r>
        <w:t xml:space="preserve">- em fração igual ou inferior a 0,5 (zero vírgula cinco), considerar-se-á o número inteiro inferior;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5"/>
        </w:numPr>
      </w:pPr>
      <w:r>
        <w:t xml:space="preserve">- em fração superior 0,5 (zero vírgula cinco), considerar-se-á o número inteiro superior;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4º O par</w:t>
      </w:r>
      <w:r>
        <w:t xml:space="preserve">celamento do solo com outros fins, não destinados à edificação será regulamentado por Decreto do Poder Executivo. 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8º</w:t>
      </w:r>
      <w:r>
        <w:t xml:space="preserve"> Fica vedado o parcelamento do solo para fins urbanos nas áreas: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6"/>
        </w:numPr>
        <w:ind w:hanging="235"/>
      </w:pPr>
      <w:r>
        <w:t xml:space="preserve">- onde as condições geotécnicas não aconselhem a edificação;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6"/>
        </w:numPr>
        <w:ind w:hanging="235"/>
      </w:pPr>
      <w:r>
        <w:t xml:space="preserve">- localizadas fora do alcance dos equipamentos urbanos, especialmente das redes públicas de abastecimento de água potável e de energia elétrica;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6"/>
        </w:numPr>
        <w:ind w:hanging="235"/>
      </w:pPr>
      <w:r>
        <w:t xml:space="preserve">- </w:t>
      </w:r>
      <w:r>
        <w:t xml:space="preserve">de monumentos arqueológicos e unidades de conservação;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6"/>
        </w:numPr>
        <w:ind w:hanging="235"/>
      </w:pPr>
      <w:r>
        <w:t xml:space="preserve">- onde a poluição impeça condições ambientais adequadas, comprovadas mediante laudo técnico emitido pelo órgão municipal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6"/>
        </w:numPr>
        <w:ind w:hanging="235"/>
      </w:pPr>
      <w:r>
        <w:t>- abaixo da cota enchente, 12,00m (doze metros), para loteamen</w:t>
      </w:r>
      <w:r>
        <w:t xml:space="preserve">tos residenciais;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6"/>
        </w:numPr>
        <w:ind w:hanging="235"/>
      </w:pPr>
      <w:r>
        <w:t xml:space="preserve">- localizadas na Zona de Proteção Ambiental (ZPA), definida pelo Código de Zoneamento e Uso do Solo, para loteamentos.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3"/>
        <w:ind w:left="-5"/>
      </w:pPr>
      <w:r>
        <w:t xml:space="preserve">Parágrafo Único - </w:t>
      </w:r>
      <w:r>
        <w:t>Em terrenos alagadiços ou pantanosos poderá ser aprovado o parcelamento do solo para fins urbanos após a execução efetiva das obras constantes de projeto de saneamento e geotécnico, sob a responsabilidade técnica de profissional legalmente habilitado e apr</w:t>
      </w:r>
      <w:r>
        <w:t xml:space="preserve">ovado pelo órgão municipal competente.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spacing w:after="20" w:line="259" w:lineRule="auto"/>
        <w:ind w:right="3"/>
        <w:jc w:val="center"/>
      </w:pPr>
      <w:r>
        <w:t xml:space="preserve">Capítulo IV DAS DIRETRIZES ESPECÍFICAS PARA O PARCELAMENTO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6"/>
      </w:pPr>
      <w:r>
        <w:t xml:space="preserve">SEÇÃO I DA CONSULTA PRÉVIA DE VIABILIDADE TÉCNICA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9º</w:t>
      </w:r>
      <w:r>
        <w:t xml:space="preserve"> Para efeito de aprovação de projeto técnico de parcelamento do solo o interessado deverá so</w:t>
      </w:r>
      <w:r>
        <w:t xml:space="preserve">licitar ao órgão municipal competente Consulta de Prévia de Viabilidade técnica contendo: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7"/>
        </w:numPr>
        <w:ind w:hanging="235"/>
      </w:pPr>
      <w:r>
        <w:t xml:space="preserve">- croquis da situação do imóvel a ser parcelado com dimensões, nome da rua mais próxima, distância até a rua transversal mais próxima e a direção norte;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7"/>
        </w:numPr>
        <w:ind w:hanging="235"/>
      </w:pPr>
      <w:r>
        <w:t>- indic</w:t>
      </w:r>
      <w:r>
        <w:t xml:space="preserve">ar quaisquer águas correntes ou dormentes e talvegues existentes no terreno;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7"/>
        </w:numPr>
        <w:ind w:hanging="235"/>
      </w:pPr>
      <w:r>
        <w:t xml:space="preserve">- certidão de inteiro teor do imóvel atualizada;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7"/>
        </w:numPr>
        <w:ind w:hanging="235"/>
      </w:pPr>
      <w:r>
        <w:t>- certidão de viabilidade, pelo órgão competente pelo abastecimento de água, energia elétrica e esgotamento sanitário, quand</w:t>
      </w:r>
      <w:r>
        <w:t xml:space="preserve">o for o caso, da possibilidade de atendimento por esses serviços;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7"/>
        </w:numPr>
        <w:ind w:hanging="235"/>
      </w:pPr>
      <w:r>
        <w:t xml:space="preserve">- certidão do órgão competente ambiental da existência ou não de áreas de preservação ambiental.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10</w:t>
      </w:r>
      <w:r>
        <w:t xml:space="preserve"> </w:t>
      </w:r>
      <w:r>
        <w:t xml:space="preserve">O órgão municipal competente, quando a consulta for positiva, indicará: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8"/>
        </w:numPr>
        <w:ind w:hanging="235"/>
      </w:pPr>
      <w:r>
        <w:t xml:space="preserve">- a zona a que pertence o imóvel;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8"/>
        </w:numPr>
        <w:ind w:hanging="235"/>
      </w:pPr>
      <w:r>
        <w:t xml:space="preserve">- dimensões mínimas dos lotes permitidos;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8"/>
        </w:numPr>
        <w:ind w:hanging="235"/>
      </w:pPr>
      <w:r>
        <w:t xml:space="preserve">- indicações do sistema viário;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Parágrafo Único - O prazo de validade da Consulta Prévia de Viab</w:t>
      </w:r>
      <w:r>
        <w:t xml:space="preserve">ilidade Técnica será de 12 (doze) meses a contar da data de sua expedição. </w:t>
      </w:r>
    </w:p>
    <w:p w:rsidR="00B90A88" w:rsidRDefault="001362E6">
      <w:pPr>
        <w:spacing w:after="2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4"/>
      </w:pPr>
      <w:r>
        <w:t xml:space="preserve">SEÇÃO II DAS DIRETRIZES BÁSICAS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11</w:t>
      </w:r>
      <w:r>
        <w:t xml:space="preserve">  Orientado pelas informações oficiais, consubstanciadas na Consulta Prévia de Viabilidade Técnica, deverá o interessado encaminhar ao ó</w:t>
      </w:r>
      <w:r>
        <w:t xml:space="preserve">rgão municipal competente requerimento solicitando Diretrizes Básicas para o Parcelamento, devendo apresentar: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certidão de inteiro teor do imóvel, atualizada;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planta do imóvel em 2 (duas) vias na escala 1:500;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>- cópia da Consulta Prévia de Via</w:t>
      </w:r>
      <w:r>
        <w:t xml:space="preserve">bilidade Técnica;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</w:t>
      </w:r>
      <w:r>
        <w:t xml:space="preserve">divisas da gleba a ser parcelada locada na prancha da última restituição do levantamento aerofotogramétrico oficial na escala 1:2000;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</w:t>
      </w:r>
      <w:r>
        <w:t xml:space="preserve">levantamento topográfico com curvas de nível a cada metro na escala mínima de 1:500, que deverá abranger a totalidade do imóvel, mesmo que o requerente se disponha a parcelar apenas parte do mesmo;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localizações topográficas relevantes;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documento </w:t>
      </w:r>
      <w:r>
        <w:t xml:space="preserve">emitido pelo órgão responsável definindo as ANEA, APP que cortem a gleba, além das áreas não edificáveis junto a linhas de energia elétrica, ferrovias, rodovias e dutos;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 xml:space="preserve">- no caso de loteamento, o tipo de uso predominante a que se destina;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>- indicaçã</w:t>
      </w:r>
      <w:r>
        <w:t xml:space="preserve">o dos arruamentos contíguos ao perímetro, construções, equipamentos urbanos e comunitários existentes no local ou em suas adjacências, com a respectiva distância da área a ser parcelada;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9"/>
        </w:numPr>
        <w:ind w:hanging="372"/>
      </w:pPr>
      <w:r>
        <w:t>- estudo preliminar do arruamento com indicação do gabarito, locad</w:t>
      </w:r>
      <w:r>
        <w:t xml:space="preserve">o na mesma prancha do inciso II deste artigo, na escala 1:2000;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12</w:t>
      </w:r>
      <w:r>
        <w:t xml:space="preserve"> O órgão municipal competente com base nos documentos requisitados fornecerá diretrizes básicas para parcelamento indicando na planta apresentada: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0"/>
        </w:numPr>
        <w:ind w:hanging="175"/>
      </w:pPr>
      <w:r>
        <w:t>- as vias de circulação do Siste</w:t>
      </w:r>
      <w:r>
        <w:t xml:space="preserve">ma de Circulação do Município, de modo a permitir o enquadramento e entrosamento com o sistema existente e o proposto;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0"/>
        </w:numPr>
        <w:ind w:hanging="175"/>
      </w:pPr>
      <w:r>
        <w:t xml:space="preserve">- faixa para escoamento de águas pluviais;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0"/>
        </w:numPr>
        <w:ind w:hanging="175"/>
      </w:pPr>
      <w:r>
        <w:t>- especificação e posição aproximada das áreas públicas destinadas a equipamentos urbano</w:t>
      </w:r>
      <w:r>
        <w:t xml:space="preserve">s e comunitários.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6"/>
        <w:ind w:left="-5"/>
      </w:pPr>
      <w:r>
        <w:rPr>
          <w:b/>
        </w:rPr>
        <w:t>Art. 13</w:t>
      </w:r>
      <w:r>
        <w:t xml:space="preserve"> O prazo máximo de validade das Diretrizes Básicas para o Parcelamento é de 12 (doze) meses ano a contar da sua expedição.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7"/>
      </w:pPr>
      <w:r>
        <w:t xml:space="preserve">SEÇÃO III DO ANTEPROJETO URBANÍSTICO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14</w:t>
      </w:r>
      <w:r>
        <w:t xml:space="preserve"> </w:t>
      </w:r>
      <w:r>
        <w:t xml:space="preserve">O interessado, tendo como referência as Diretrizes Básicas para o parcelamento elaborará, opcionalmente, o anteprojeto urbanístico do loteamento submetendo-o à análise do órgão municipal competente, acompanhado dos seguintes documentos: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1"/>
        </w:numPr>
        <w:ind w:hanging="115"/>
      </w:pPr>
      <w:r>
        <w:t>- cópia das Dire</w:t>
      </w:r>
      <w:r>
        <w:t xml:space="preserve">trizes Básicas para o Parcelamento;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1"/>
        </w:numPr>
        <w:ind w:hanging="115"/>
      </w:pPr>
      <w:r>
        <w:t xml:space="preserve">- proposta preliminar de divisão e conformação de quadras e lotes, dimensões básicas, arruamento, arranjos das áreas comuns na escala mínima 1:500;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1"/>
        </w:numPr>
        <w:ind w:hanging="115"/>
      </w:pPr>
      <w:r>
        <w:t>- proposta de tratamento da cobertura vegetal do terreno, contençã</w:t>
      </w:r>
      <w:r>
        <w:t xml:space="preserve">o de encostas, escoamento de águas e demais elementos técnicos necessários à perfeita compreensão do anteprojeto.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4"/>
        <w:ind w:left="-5"/>
      </w:pPr>
      <w:r>
        <w:t>Parágrafo Único - Após análise do anteprojeto urbanístico este será devolvido ao interessado contendo indicações de alterações recomendadas</w:t>
      </w:r>
      <w:r>
        <w:t xml:space="preserve">, se for o caso, a fim de que seja elaborado projeto definitivo.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5"/>
      </w:pPr>
      <w:r>
        <w:t xml:space="preserve">Capítulo V DOS PROJETOS DE LOTEAMENTO </w:t>
      </w:r>
    </w:p>
    <w:p w:rsidR="00B90A88" w:rsidRDefault="001362E6">
      <w:pPr>
        <w:spacing w:after="22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28"/>
        <w:ind w:left="-5"/>
      </w:pPr>
      <w:r>
        <w:rPr>
          <w:b/>
        </w:rPr>
        <w:t>Art. 15</w:t>
      </w:r>
      <w:r>
        <w:t xml:space="preserve"> No ato da solicitação de licença para implantação do loteamento, o interessado deverá apresentar os seguintes documentos: </w:t>
      </w:r>
    </w:p>
    <w:p w:rsidR="00B90A88" w:rsidRDefault="001362E6">
      <w:pPr>
        <w:spacing w:after="22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 xml:space="preserve">- </w:t>
      </w:r>
      <w:r>
        <w:t xml:space="preserve">certidão de inteiro teor do imóvel atualizada;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 xml:space="preserve">- prova de domínio do loteador sobre o terreno a parcelar, na forma da legislação federal, se for o caso;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>- cópia da Consulta Prévia de Viabilidade Técnica e do documento que estabelece as Diretrizes Bás</w:t>
      </w:r>
      <w:r>
        <w:t xml:space="preserve">icas para o Parcelamento e, quando for o caso, cópia do anteprojeto urbanístico analisado pelo órgão municipal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 xml:space="preserve">- </w:t>
      </w:r>
      <w:r>
        <w:t xml:space="preserve">instrumento de autorização de uso de glebas com vegetação nativa emitido pelo órgão ambiental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 xml:space="preserve">- caderneta de campo do levantamento topográfico altimétrico e planimétrico do loteamento, quando exigido pelo órgão municipal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>- niv</w:t>
      </w:r>
      <w:r>
        <w:t xml:space="preserve">elamento dos eixos dos logradouros e seções transversais feitas de 20,00m (vinte metros) em 20,00m (vinte metros); </w:t>
      </w:r>
    </w:p>
    <w:p w:rsidR="00B90A88" w:rsidRDefault="001362E6">
      <w:pPr>
        <w:numPr>
          <w:ilvl w:val="0"/>
          <w:numId w:val="12"/>
        </w:numPr>
        <w:ind w:hanging="624"/>
      </w:pPr>
      <w:r>
        <w:t>- projeto de terraplenagem dos lotes, cálculo analítico do levantamento topográfico e laudo geotécnico do loteamento, quando exigido pelo ór</w:t>
      </w:r>
      <w:r>
        <w:t xml:space="preserve">gão municipal competente.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2"/>
        </w:numPr>
        <w:ind w:hanging="624"/>
      </w:pPr>
      <w:r>
        <w:t xml:space="preserve">- </w:t>
      </w:r>
      <w:r>
        <w:tab/>
        <w:t xml:space="preserve">projeto </w:t>
      </w:r>
      <w:r>
        <w:tab/>
        <w:t xml:space="preserve">planimétrico </w:t>
      </w:r>
      <w:r>
        <w:tab/>
        <w:t xml:space="preserve">na </w:t>
      </w:r>
      <w:r>
        <w:tab/>
        <w:t xml:space="preserve">escala </w:t>
      </w:r>
      <w:r>
        <w:tab/>
        <w:t xml:space="preserve">mínima </w:t>
      </w:r>
      <w:r>
        <w:tab/>
        <w:t xml:space="preserve">de </w:t>
      </w:r>
      <w:r>
        <w:tab/>
        <w:t xml:space="preserve">1:500 </w:t>
      </w:r>
      <w:r>
        <w:tab/>
        <w:t xml:space="preserve">indicando: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o norte magnético e verdadeiro orientado para a parte superior da planta;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o ponto de amarração ou de referência da obra;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>os cursos d`água, áreas alaga</w:t>
      </w:r>
      <w:r>
        <w:t xml:space="preserve">diças e mananciais;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o alinhamento das vias públicas existentes e respectivo gabarito;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as edificações existentes, quando for o caso;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o complemento das vias projetadas, com raio de curva conforme estabelecido no </w:t>
      </w:r>
    </w:p>
    <w:p w:rsidR="00B90A88" w:rsidRDefault="001362E6">
      <w:pPr>
        <w:ind w:left="-5"/>
      </w:pPr>
      <w:r>
        <w:t xml:space="preserve">Código do Sistema de Circulação;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a proposta de localização da área pública, observados os critérios na Seção I, do Capítulo V deste Código;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>o quadro resumo das diversas área</w:t>
      </w:r>
      <w:r>
        <w:t xml:space="preserve">s indicadas no projeto;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o lado par das vias, ângulos, raios e elementos de curvas;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as linhas de transmissão de energia e suas faixas de domínio, se houver;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as áreas destinadas à instalação de bombas de recalque e reservatório de água;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as áreas </w:t>
      </w:r>
      <w:r>
        <w:t xml:space="preserve">de preservação permanentes e faixa não edificante estabelecidas pela legislação vigente;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 xml:space="preserve">as faixas sanitárias não edificantes nos locais onde as tubulações não passem pelas vias públicas, obedecendo as larguras mínimas estabelecidas no Anexo II;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3"/>
        </w:numPr>
        <w:ind w:hanging="254"/>
      </w:pPr>
      <w:r>
        <w:t>a zo</w:t>
      </w:r>
      <w:r>
        <w:t xml:space="preserve">na em que a área se encontra.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IX - os projetos complementares indicando: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a) a rede de escoamento das águas pluviais, dimensionada conforme cálculo de vazão do trecho ou bacia contribuinte, obedecendo os seguintes critérios: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4"/>
        </w:numPr>
        <w:ind w:hanging="237"/>
      </w:pPr>
      <w:r>
        <w:t xml:space="preserve">rede principal e secundária com diâmetro de 40cm (quarenta centímetros);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4"/>
        </w:numPr>
        <w:ind w:hanging="237"/>
      </w:pPr>
      <w:r>
        <w:t xml:space="preserve">rede transversal com diâmetro de 30cm (trinta centímetros); </w:t>
      </w:r>
    </w:p>
    <w:p w:rsidR="00B90A88" w:rsidRDefault="001362E6">
      <w:pPr>
        <w:numPr>
          <w:ilvl w:val="0"/>
          <w:numId w:val="14"/>
        </w:numPr>
        <w:ind w:hanging="237"/>
      </w:pPr>
      <w:r>
        <w:t xml:space="preserve">caimento mínimo da tubulação deverá ser igual ou superior a 0,5% (zero vírgula cinco por cento);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4"/>
        </w:numPr>
        <w:ind w:hanging="237"/>
      </w:pPr>
      <w:r>
        <w:t>profundidade de rec</w:t>
      </w:r>
      <w:r>
        <w:t xml:space="preserve">obrimento da tubulação deverá ser de, no mínimo, 1,00m (um metro);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 xml:space="preserve">ponto de jusante da rede de escoamento de águas pluviais com indicação do diâmetro e profundidade da canalização pública receptora;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 xml:space="preserve">perfis longitudinais e transversais tirados na linha dos eixos de cada rua, bem como greide do projeto com cotas e elementos da curva vertical;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>projeto altimétrico indicando o relevo do solo por meio de curvas de nível a cada 5,00m (cinco metros), no mí</w:t>
      </w:r>
      <w:r>
        <w:t xml:space="preserve">nimo;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 xml:space="preserve">localização das bocas de lobo;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 xml:space="preserve">canalização em galerias ou em canal aberto com faixa não edificante de 5,00m (cinco metros) de largura para cada lado das bordas, com projeto completo;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 xml:space="preserve">obras de arte com projeto completo, se houver;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>projetos</w:t>
      </w:r>
      <w:r>
        <w:t xml:space="preserve"> aprovados pelo órgão competente de abastecimento de água potável e de rede de esgotos sanitários;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5"/>
        </w:numPr>
        <w:ind w:hanging="247"/>
      </w:pPr>
      <w:r>
        <w:t xml:space="preserve">tubulação destinada à captação das águas servidas dos lotes em declive em relação à rua cuja manutenção será de responsabilidade do proprietário do lote.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§ 1º - </w:t>
      </w:r>
      <w:r>
        <w:t xml:space="preserve">Caberá ao empreendedor a responsabilidade de consultar os órgãos públicos e/ou as concessionárias de serviço público, responsáveis pela infraestrutura, externas ao empreendimento, quanto à viabilidade de sua implementação.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2º - No caso de insuficiênci</w:t>
      </w:r>
      <w:r>
        <w:t xml:space="preserve">a ou inexistência de infraestrutura esta deverá ser executada pelo empreendedor.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16</w:t>
      </w:r>
      <w:r>
        <w:t xml:space="preserve"> Os projetos de loteamento deverão prever a máxima conservação da cobertura vegetal a título de contenção dos efeitos negativos da erosão, aprovado pelo órgão ambien</w:t>
      </w:r>
      <w:r>
        <w:t xml:space="preserve">tal </w:t>
      </w:r>
      <w:r>
        <w:tab/>
        <w:t xml:space="preserve">competente.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17</w:t>
      </w:r>
      <w:r>
        <w:t xml:space="preserve"> Nas áreas urbanas as novas vias de loteamento terão o declive longitudinal e os gabaritos dimensionados conforme especificações do Código de Sistema Circulação. </w:t>
      </w:r>
    </w:p>
    <w:p w:rsidR="00B90A88" w:rsidRDefault="001362E6">
      <w:pPr>
        <w:spacing w:after="2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7"/>
      </w:pPr>
      <w:r>
        <w:t xml:space="preserve">SEÇÃO I DA ÁREA PÚBLICA </w:t>
      </w:r>
    </w:p>
    <w:p w:rsidR="00B90A88" w:rsidRDefault="001362E6">
      <w:pPr>
        <w:ind w:left="-5"/>
      </w:pPr>
      <w:r>
        <w:rPr>
          <w:b/>
        </w:rPr>
        <w:t>Art. 18</w:t>
      </w:r>
      <w:r>
        <w:t xml:space="preserve"> Será reservada e entregue ao Mu</w:t>
      </w:r>
      <w:r>
        <w:t xml:space="preserve">nicípio, sem ônus para este, 35% (trinta e cinco por cento) da área loteável, destinadas ao sistema de circulação e à implantação de equipamentos urbanos e comunitários.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19</w:t>
      </w:r>
      <w:r>
        <w:t xml:space="preserve"> A área pública a ser entregue ao Município, deduzidas as áreas destinadas a</w:t>
      </w:r>
      <w:r>
        <w:t xml:space="preserve">o sistema de circulação que terá, no mínimo, 50% (cinqüenta por cento) de sua área reservada à implantação de equipamentos comunitários em que possa ser inscrito um círculo com raio mínimo de 10,00m (dez metros).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1º As áreas reservadas para os equipam</w:t>
      </w:r>
      <w:r>
        <w:t xml:space="preserve">entos comunitários deverão ser mantidas com a cobertura vegetal existente até que o Município lhes dê destinação, salvo determinação expressa do órgão municipal competente.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2º A localização da área a ser reservada para equipamento comunitário será det</w:t>
      </w:r>
      <w:r>
        <w:t>erminada pelo órgão municipal competente de modo a integrá-la harmonicamente à estrutura urbana, podendo as áreas em Zona de Proteção Ambiental (ZPA) e em Área de Preservação Permanente (APP) serem computadas nos 35% (trinta e cinco por centro) da área lot</w:t>
      </w:r>
      <w:r>
        <w:t xml:space="preserve">eável, na proporção máxima de 50% (cinquenta por cento). 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20</w:t>
      </w:r>
      <w:r>
        <w:t xml:space="preserve"> A critério do órgão municipal competente, a área loteável inferior a 10.000m2 </w:t>
      </w:r>
    </w:p>
    <w:p w:rsidR="00B90A88" w:rsidRDefault="001362E6">
      <w:pPr>
        <w:ind w:left="-5"/>
      </w:pPr>
      <w:r>
        <w:t>(dez mil metros quadrados) poderá ter área pública com percentual inferior a 35% (trinta e cinco por cento),</w:t>
      </w:r>
      <w:r>
        <w:t xml:space="preserve"> desde que o loteamento esteja em região que já possua equipamentos comunitários próximos.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21</w:t>
      </w:r>
      <w:r>
        <w:t xml:space="preserve"> Nos loteamentos onde as ruas projetadas pelo empreendedor estiverem localizadas junto às divisas da gleba, deverá ser somada à área pública, definida no a</w:t>
      </w:r>
      <w:r>
        <w:t xml:space="preserve">rtigo 18, uma área de terras equivalente calculada da seguinte forma: Extensão da via projetada junto a divisa x 30m (trinta metros) x 35% (trinta e cinco por cento). </w:t>
      </w:r>
    </w:p>
    <w:p w:rsidR="00B90A88" w:rsidRDefault="001362E6">
      <w:pPr>
        <w:spacing w:after="22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4"/>
      </w:pPr>
      <w:r>
        <w:t xml:space="preserve">SEÇÃO II DOS PRAZOS E ESPECIFICAÇÕES DO PROJETO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22</w:t>
      </w:r>
      <w:r>
        <w:t xml:space="preserve"> </w:t>
      </w:r>
      <w:r>
        <w:t xml:space="preserve">O órgão municipal competente, a contar da data do requerimento, terá o prazo de: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6"/>
        </w:numPr>
        <w:ind w:hanging="252"/>
      </w:pPr>
      <w:r>
        <w:t xml:space="preserve">- 12 (doze) dias úteis para definir as informações na Consulta Prévia de Viabilidade Técnica;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6"/>
        </w:numPr>
        <w:ind w:hanging="252"/>
      </w:pPr>
      <w:r>
        <w:t>- 05 (cinco) dias úteis para definir as Diretrizes Básicas de Parcelamento;</w:t>
      </w:r>
      <w:r>
        <w:t xml:space="preserve">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6"/>
        </w:numPr>
        <w:ind w:hanging="252"/>
      </w:pPr>
      <w:r>
        <w:t xml:space="preserve">- 05 (cinco) dias úteis para examinar o anteprojeto urbanístico;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6"/>
        </w:numPr>
        <w:ind w:hanging="252"/>
      </w:pPr>
      <w:r>
        <w:t xml:space="preserve">- 10 (dez) dias úteis para aprovação do projeto definitivo. </w:t>
      </w:r>
    </w:p>
    <w:p w:rsidR="00B90A88" w:rsidRDefault="001362E6">
      <w:pPr>
        <w:ind w:left="-5"/>
      </w:pPr>
      <w:r>
        <w:t xml:space="preserve">Parágrafo Único - </w:t>
      </w:r>
      <w:r>
        <w:t xml:space="preserve">Na hipótese da documentação estar incompleta, o prazo será contado da data em que a documentação for completada.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23</w:t>
      </w:r>
      <w:r>
        <w:t xml:space="preserve"> O interessado deverá atender, no prazo máximo de 60 (sessenta) dias, os pedidos de esclarecimentos ou de apresentação de elementos e</w:t>
      </w:r>
      <w:r>
        <w:t xml:space="preserve">lucidativos formulado pelo órgão competente, no curso do processo, salvo prorrogação concedida por motivo justificado.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Parágrafo Único - O não atendimento do pedido importará no arquivamento do processo por abandono.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24</w:t>
      </w:r>
      <w:r>
        <w:t xml:space="preserve"> Na aprovação do projeto d</w:t>
      </w:r>
      <w:r>
        <w:t xml:space="preserve">e parcelamento, o requerente deverá apresentar um total de 8 (oito) vias da planta de divisão dos lotes e 3 (três) vias dos projetos complementares.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25</w:t>
      </w:r>
      <w:r>
        <w:t xml:space="preserve"> O projeto de parcelamento deverá ser apresentado sem rasuras ou ressalvas, com prancha de tamanh</w:t>
      </w:r>
      <w:r>
        <w:t xml:space="preserve">o máximo "A0 - Padrão ABNT".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4"/>
        <w:ind w:left="-5"/>
      </w:pPr>
      <w:r>
        <w:t xml:space="preserve">Parágrafo Único - No projeto de loteamento será anexado planialmétrico de divisão dos lotes e 3 (três) vias do memorial descritivo.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7"/>
      </w:pPr>
      <w:r>
        <w:t xml:space="preserve">SEÇÃO III </w:t>
      </w:r>
      <w:r>
        <w:t xml:space="preserve">DO ALVARÁ PARA IMPLANTAÇÃO DA INFRAESTRUTURA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26</w:t>
      </w:r>
      <w:r>
        <w:t xml:space="preserve"> Com base nos elementos fornecidos pelos órgãos municipais, o interessado elaborará o projeto do loteamento para análise.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4"/>
        <w:ind w:left="-5"/>
      </w:pPr>
      <w:r>
        <w:rPr>
          <w:b/>
        </w:rPr>
        <w:t>Art. 27</w:t>
      </w:r>
      <w:r>
        <w:t xml:space="preserve"> Após aprovação do projeto de loteamento, o órgão municipal competent</w:t>
      </w:r>
      <w:r>
        <w:t xml:space="preserve">e, emitirá Alvará para início das obras de infraestrutura que deverá estar concluída no prazo máximo de 24 (vinte e quatro) meses a contar da expedição do Alvará.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1"/>
      </w:pPr>
      <w:r>
        <w:t xml:space="preserve">Capítulo VI DAS OBRAS DOS LOTEAMENTOS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28</w:t>
      </w:r>
      <w:r>
        <w:t xml:space="preserve"> O loteador, após o recebimento do Alvará </w:t>
      </w:r>
      <w:r>
        <w:t xml:space="preserve">para implantação de infraestrutura deverá executar as obras constantes do projeto aprovado, no prazo estabelecido no artigo 27, com: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7"/>
        </w:numPr>
      </w:pPr>
      <w:r>
        <w:t>- a demarcação dos lotes com marcos de concreto ou pedra nas dimensões de 10 (dez) x 10 (dez) x 60cm (sessenta centímetr</w:t>
      </w:r>
      <w:r>
        <w:t xml:space="preserve">os); </w:t>
      </w:r>
    </w:p>
    <w:p w:rsidR="00B90A88" w:rsidRDefault="001362E6">
      <w:pPr>
        <w:numPr>
          <w:ilvl w:val="0"/>
          <w:numId w:val="17"/>
        </w:numPr>
      </w:pPr>
      <w:r>
        <w:t xml:space="preserve">- a abertura de todas as vias de circulação que deverão ser pavimentadas da seguinte forma: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8"/>
        </w:numPr>
      </w:pPr>
      <w:r>
        <w:t>para as vias pavimentadas com lajotas, paralelepípedos ou similares além da subbase será executada base de areia de 15cm (quinze centímetros) de espessura,</w:t>
      </w:r>
      <w:r>
        <w:t xml:space="preserve"> possuindo travejamento a cada 20,00m (vinte metros) para vias com mais de 15% (quinze por cento) de declividade;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8"/>
        </w:numPr>
      </w:pPr>
      <w:r>
        <w:t xml:space="preserve">para as vias pavimentadas com asfalto, além da sub-base será executada base de brita corrida de 15cm (quinze centímetros), no mínimo, e um </w:t>
      </w:r>
      <w:r>
        <w:t xml:space="preserve">revestimento asfáltico do tipo tratamento superficial duplo ou similar;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9"/>
        </w:numPr>
        <w:ind w:hanging="312"/>
      </w:pPr>
      <w:r>
        <w:t>- os meiosfios em pedra ou em concreto pré-moldado rejuntados com argamassa de cimento, ou moldados "</w:t>
      </w:r>
      <w:r>
        <w:rPr>
          <w:i/>
        </w:rPr>
        <w:t>in loco</w:t>
      </w:r>
      <w:r>
        <w:t xml:space="preserve">", em concreto, na espessura mínima de 10cm (dez centímetros), com 30cm (trinta centímetros) de altura, aterrados internamente em toda a largura da calçada, nivelado pelo bordo superior do meiofio;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9"/>
        </w:numPr>
        <w:ind w:hanging="312"/>
      </w:pPr>
      <w:r>
        <w:t xml:space="preserve">- as obras de consolidação e arrimo e qualquer obra de </w:t>
      </w:r>
      <w:r>
        <w:t xml:space="preserve">arte necessária à conservação das ruas, tendo em vista as condições viárias e sanitárias dos terrenos a lotear;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9"/>
        </w:numPr>
        <w:ind w:hanging="312"/>
      </w:pPr>
      <w:r>
        <w:t xml:space="preserve">- o sistema completo de distribuição de água tratada, de acordo com especificação técnica da ABNT e do órgão municipal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9"/>
        </w:numPr>
        <w:ind w:hanging="312"/>
      </w:pPr>
      <w:r>
        <w:t>- a red</w:t>
      </w:r>
      <w:r>
        <w:t xml:space="preserve">e de eletrificação e iluminação pública, conforme normas do órgão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19"/>
        </w:numPr>
        <w:ind w:hanging="312"/>
      </w:pPr>
      <w:r>
        <w:t xml:space="preserve">- a rede de águas pluviais que deverão ter: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0"/>
        </w:numPr>
      </w:pPr>
      <w:r>
        <w:t xml:space="preserve">as canalizações recobertas e devidamente compactadas após autorização por escrito do órgão municipal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0"/>
        </w:numPr>
      </w:pPr>
      <w:r>
        <w:t>a tubulação de águas pluviais assentada em berço de brita, pranchões de madeira ou concreto, conforme determinação do órgão municipal compet</w:t>
      </w:r>
      <w:r>
        <w:t xml:space="preserve">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0"/>
        </w:numPr>
      </w:pPr>
      <w:r>
        <w:t>as bocas de lobo executadas de tijolo de concreto com dimensão interna de 27x65cm (vinte e sete centímetros por sessenta e cinco centímetros) com grelha, de ferro fundido ou concreto armado e com espaçamento, máximo, de 30,00m (trinta metros), com</w:t>
      </w:r>
      <w:r>
        <w:t xml:space="preserve"> rebaixo.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1"/>
        </w:numPr>
      </w:pPr>
      <w:r>
        <w:t xml:space="preserve">- a recomposição vegetal de todos os taludes, conforme diretrizes do órgão ambiental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1"/>
        </w:numPr>
      </w:pPr>
      <w:r>
        <w:t>- a implantação da rede de esgotos sanitários para futura ligação com a rede pública municipal, de acordo com especificações técnicas da ABNT e</w:t>
      </w:r>
      <w:r>
        <w:t xml:space="preserve"> órgão municipal competente; </w:t>
      </w:r>
    </w:p>
    <w:p w:rsidR="00B90A88" w:rsidRDefault="001362E6">
      <w:pPr>
        <w:numPr>
          <w:ilvl w:val="0"/>
          <w:numId w:val="21"/>
        </w:numPr>
      </w:pPr>
      <w:r>
        <w:t xml:space="preserve">- a implantação dos hidrantes de coluna, conforme norma de segurança contra incêndios do Estado de Santa Catarina. </w:t>
      </w:r>
    </w:p>
    <w:p w:rsidR="00B90A88" w:rsidRDefault="001362E6">
      <w:pPr>
        <w:ind w:left="-5"/>
      </w:pPr>
      <w:r>
        <w:t xml:space="preserve">§ 1º A vias com declividade superior a 15% (quinze por cento) terão suas bocas de lobo com espaçamento máximo </w:t>
      </w:r>
      <w:r>
        <w:t xml:space="preserve">de 20,00m (vinte metros).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2º Quando a rede de água pluvial tiver que desaguar em terreno de confrontante de forma a alterar as condições originais de qualidade e quantidade de efluentes, o órgão municipal competente, em comum acordo com o confrontante</w:t>
      </w:r>
      <w:r>
        <w:t xml:space="preserve">, indicará a solução a ser executada pelo loteador, às expensas deste.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§ 3º Quando iniciada a abertura das ruas para implantação da infraestrutura, o loteador deverá informar por escrito o órgão municipal responsável pela execução de obras públicas;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17" w:line="268" w:lineRule="auto"/>
        <w:ind w:left="-5"/>
      </w:pPr>
      <w:r>
        <w:rPr>
          <w:color w:val="FF0000"/>
        </w:rPr>
        <w:t>§ 4º As vias de circulação interna do loteamento industrial terão, obrigat</w:t>
      </w:r>
      <w:r>
        <w:rPr>
          <w:color w:val="FF0000"/>
        </w:rPr>
        <w:t>oriamente, pavimentação adequada para suportar a carga dos veículos que por ela circularão e gabarito definido do Código de Sistema de Circulação. (REVOGAR)</w:t>
      </w:r>
      <w:r>
        <w:t xml:space="preserve"> </w:t>
      </w:r>
    </w:p>
    <w:p w:rsidR="00B90A88" w:rsidRDefault="001362E6">
      <w:pPr>
        <w:spacing w:after="2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7"/>
      </w:pPr>
      <w:r>
        <w:t xml:space="preserve">SEÇÃO I DA FERRAMENTA DE COMUNICAÇÃO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29</w:t>
      </w:r>
      <w:r>
        <w:t xml:space="preserve"> Em todo loteamento aprovado para a execução de i</w:t>
      </w:r>
      <w:r>
        <w:t xml:space="preserve">nfraestrutura deverá ser instalada ferramenta de comunicação tipo cartaz publicitário, com dimensões entre 6m2 (seis metros quadrados) e 27m2 (vinte e sete metros quadrados) que será fixada em local visível, com as seguintes informações: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2"/>
        </w:numPr>
        <w:ind w:hanging="252"/>
      </w:pPr>
      <w:r>
        <w:t>- nome do respo</w:t>
      </w:r>
      <w:r>
        <w:t xml:space="preserve">nsável pelo empreendimento;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2"/>
        </w:numPr>
        <w:ind w:hanging="252"/>
      </w:pPr>
      <w:r>
        <w:t xml:space="preserve">- nome do empreendimento;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2"/>
        </w:numPr>
        <w:ind w:hanging="252"/>
      </w:pPr>
      <w:r>
        <w:t xml:space="preserve">- nome do responsável técnico com o número de sua carteira profissional;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2"/>
        </w:numPr>
        <w:ind w:hanging="252"/>
      </w:pPr>
      <w:r>
        <w:t xml:space="preserve">- número e data do Alvará de Licença para obras de infraestrutura do loteamento;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2"/>
        </w:numPr>
        <w:ind w:hanging="252"/>
      </w:pPr>
      <w:r>
        <w:t>- data para o término da execução da</w:t>
      </w:r>
      <w:r>
        <w:t xml:space="preserve">s obras.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Parágrafo Único - Na ferramenta de comunicação deverá conter o seguinte texto: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"Este empreendimento está autorizado para a implantação de infra-estrutura, estando proibida a venda de lotes conforme dispõe a legislação federal e municipal.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Consulte sempre a Prefeitura antes de comprar um lote". </w:t>
      </w:r>
    </w:p>
    <w:p w:rsidR="00B90A88" w:rsidRDefault="001362E6">
      <w:pPr>
        <w:spacing w:after="2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4"/>
      </w:pPr>
      <w:r>
        <w:t xml:space="preserve">SEÇÃO II DA APROVAÇÃO DAS OBRAS DE LOTEAMENTO </w:t>
      </w:r>
    </w:p>
    <w:p w:rsidR="00B90A88" w:rsidRDefault="001362E6">
      <w:pPr>
        <w:ind w:left="-5"/>
      </w:pPr>
      <w:r>
        <w:rPr>
          <w:b/>
        </w:rPr>
        <w:t>Art. 30</w:t>
      </w:r>
      <w:r>
        <w:t xml:space="preserve"> Após a realização das obras de infraestrutura, para aprovação do loteamento, o interessado deverá apresentar ao órgão municipal competente: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3"/>
        </w:numPr>
      </w:pPr>
      <w:r>
        <w:t xml:space="preserve">- declaração de aprovação e conclusão da rede de energia elétrica e iluminação expedida pelo órgão estadual competente;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3"/>
        </w:numPr>
      </w:pPr>
      <w:r>
        <w:t>- declaração de aprovação e conclusão das redes de água potável e esgoto sanitário expedida pelo órgão municipal competente e/ou c</w:t>
      </w:r>
      <w:r>
        <w:t xml:space="preserve">oncessionário de serviços públicos;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3"/>
        </w:numPr>
      </w:pPr>
      <w:r>
        <w:t xml:space="preserve">- </w:t>
      </w:r>
      <w:r>
        <w:t xml:space="preserve">relatório de vistoria da implantação da infraestrutura expedido pelo órgão municipal responsável pela execução de obras públicas.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31</w:t>
      </w:r>
      <w:r>
        <w:t xml:space="preserve"> Depois de cumpridas todas as exigências desta lei o órgão municipal competente emitirá a certidão de aprovação que </w:t>
      </w:r>
      <w:r>
        <w:t xml:space="preserve">deverá a ser encaminhada ao Cartório de Registro de Imóveis competente para registro.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4"/>
        <w:ind w:left="-5"/>
      </w:pPr>
      <w:r>
        <w:rPr>
          <w:b/>
        </w:rPr>
        <w:t>Art. 32</w:t>
      </w:r>
      <w:r>
        <w:t xml:space="preserve"> O loteador fica responsável pelas obras executadas no loteamento pelo prazo de 6 (seis) meses, contados da data da aprovação do loteamento pelo órgão municipal</w:t>
      </w:r>
      <w:r>
        <w:t xml:space="preserve"> competente, devendo essa garantia ser mencionada nos contratos de compra e venda dos lotes.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7"/>
      </w:pPr>
      <w:r>
        <w:t xml:space="preserve">SEÇÃO III </w:t>
      </w:r>
    </w:p>
    <w:p w:rsidR="00B90A88" w:rsidRDefault="001362E6">
      <w:pPr>
        <w:ind w:left="104"/>
      </w:pPr>
      <w:r>
        <w:t xml:space="preserve">DA APROVAÇÃO DO LOTEAMENTO SEM EXECUÇÃO DAS OBRAS DE INFRAESTRUTURA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33</w:t>
      </w:r>
      <w:r>
        <w:t xml:space="preserve"> </w:t>
      </w:r>
      <w:r>
        <w:t>O Executivo Municipal poderá autorizar a venda de lotes, sem que sejam executadas as obras de infraestrutura, mediante oferecimento, pelo loteador de imóveis a serem hipotecados ou apólice de seguro garantia, em favor do Município de Blumenau, em valor suf</w:t>
      </w:r>
      <w:r>
        <w:t xml:space="preserve">iciente para suportar os custos dos trabalhos a serem executados no loteamento.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1º Para a aceitação do seguro garantia ou hipoteca o interessado deverá apresentar cronograma físico financeiro de execução das obras, relativas à implantação do loteament</w:t>
      </w:r>
      <w:r>
        <w:t xml:space="preserve">o, que não poderá ser superior a 24 (vinte e quatro) meses, que deverá ser avaliada e aprovada pelo órgão municipal competente.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§ 2º O prazo da hipoteca ou do seguro garantia, que deverá ter o premio devidamente quitado, deverá ter vigência de 30 (trint</w:t>
      </w:r>
      <w:r>
        <w:t xml:space="preserve">a) meses, a contar de sua aceitação pela Administração Pública Municipal.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§ 3º A hipoteca ou o seguro garantia deverão observar a legislação pertinente.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34</w:t>
      </w:r>
      <w:r>
        <w:t xml:space="preserve"> A hipoteca deverá recair sobre um ou mais imóveis, de propriedade do loteador, e registra</w:t>
      </w:r>
      <w:r>
        <w:t xml:space="preserve">das no Cartório de Registro de Imóveis competente. </w:t>
      </w:r>
    </w:p>
    <w:p w:rsidR="00B90A88" w:rsidRDefault="001362E6">
      <w:pPr>
        <w:ind w:left="-5"/>
      </w:pPr>
      <w:r>
        <w:t xml:space="preserve">Parágrafo Único - Caberá ao órgão municipal competente a avaliação do imóvel ou imóveis indicados.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35</w:t>
      </w:r>
      <w:r>
        <w:t xml:space="preserve"> A ferramenta de comunicação a ser instalada no loteamento, além dos requisitos determinado no </w:t>
      </w:r>
      <w:r>
        <w:t xml:space="preserve">art. 29, deverá conter: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4"/>
        </w:numPr>
        <w:ind w:hanging="175"/>
      </w:pPr>
      <w:r>
        <w:t xml:space="preserve">- número do registro do projeto de loteamento aprovado no Município;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4"/>
        </w:numPr>
        <w:ind w:hanging="175"/>
      </w:pPr>
      <w:r>
        <w:t xml:space="preserve">- número do registro do loteamento junto ao Registro de Imóveis.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Parágrafo Único - Na ferramenta de comunicação deverá conter o seguinte texto: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"Este e</w:t>
      </w:r>
      <w:r>
        <w:t xml:space="preserve">mpreendimento está aprovado com seguro garantia ou hipoteca do(s) imóvel(is).....(endereço do(s) imóvel(is) e nº da(s) matrícula(s)) como garantia da execução das obras de infraestrutura, estando liberada a venda de lotes.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Consulte sempre a Prefeitura a</w:t>
      </w:r>
      <w:r>
        <w:t xml:space="preserve">ntes de comprar um lote",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36</w:t>
      </w:r>
      <w:r>
        <w:t xml:space="preserve"> Vencido o prazo estipulado para a execução da infraestrutura sem que a obra esteja concluída será, imediatamente, executada a hipoteca ou liquidado o seguro garantia.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 xml:space="preserve">Parágrafo Único - </w:t>
      </w:r>
      <w:r>
        <w:t xml:space="preserve">O Município de Blumenau terá prazo de 24 (vinte e quatro) meses, a partir da execução da hipoteca ou liquidação do seguro garantia para concluir as obras do loteamento.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6"/>
        <w:ind w:left="-5"/>
      </w:pPr>
      <w:r>
        <w:rPr>
          <w:b/>
        </w:rPr>
        <w:t>Art. 37</w:t>
      </w:r>
      <w:r>
        <w:t xml:space="preserve"> Uma vez realizadas as obras de implantação da infraestrutura do loteamento e</w:t>
      </w:r>
      <w:r>
        <w:t xml:space="preserve"> após a aprovação destas, o Município de Blumenau dará a liberação do seguro garantia ou da respectiva hipoteca. </w:t>
      </w:r>
    </w:p>
    <w:p w:rsidR="00B90A88" w:rsidRDefault="001362E6">
      <w:pPr>
        <w:spacing w:after="2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4"/>
      </w:pPr>
      <w:r>
        <w:t xml:space="preserve">Capítulo VII DO PROJETO DE DESMEMBRAMENTO E ADITAMENTO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38</w:t>
      </w:r>
      <w:r>
        <w:t xml:space="preserve"> Na solicitação para aprovação do desmembramento ou aditamento o interessad</w:t>
      </w:r>
      <w:r>
        <w:t xml:space="preserve">o deverá apresentar ao órgão municipal competente os seguintes documentos: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5"/>
        </w:numPr>
        <w:ind w:hanging="235"/>
      </w:pPr>
      <w:r>
        <w:t xml:space="preserve">- certidão de inteiro teor atualizada;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5"/>
        </w:numPr>
        <w:ind w:hanging="235"/>
      </w:pPr>
      <w:r>
        <w:t xml:space="preserve">- </w:t>
      </w:r>
      <w:r>
        <w:t xml:space="preserve">cópia da Consulta Prévia de Viabilidade Técnica e do documento de Diretrizes Básicas para o parcelamento;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5"/>
        </w:numPr>
        <w:ind w:hanging="235"/>
      </w:pPr>
      <w:r>
        <w:t xml:space="preserve">- planta do projeto de desmembramento ou aditamento; </w:t>
      </w:r>
    </w:p>
    <w:p w:rsidR="00B90A88" w:rsidRDefault="001362E6">
      <w:pPr>
        <w:numPr>
          <w:ilvl w:val="0"/>
          <w:numId w:val="25"/>
        </w:numPr>
        <w:ind w:hanging="235"/>
      </w:pPr>
      <w:r>
        <w:t>- cálculo analítico do levantamento topográfico, quando exigido pelo órgão municipal competen</w:t>
      </w:r>
      <w:r>
        <w:t xml:space="preserve">te.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39</w:t>
      </w:r>
      <w:r>
        <w:t xml:space="preserve"> A apresentação definitiva do projeto para a aprovação do desmembramento ou aditamento deverá obedecer as exigências do artigo 15, inciso VIII, alíneas a, b, c, d, e, h, i, j, l, m, n.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34"/>
        <w:ind w:left="-5"/>
      </w:pPr>
      <w:r>
        <w:rPr>
          <w:b/>
        </w:rPr>
        <w:t>Art. 40</w:t>
      </w:r>
      <w:r>
        <w:t xml:space="preserve"> Depois de cumpridas todas as exigências desta </w:t>
      </w:r>
      <w:r>
        <w:t xml:space="preserve">lei o órgão municipal competente emitirá a certidão de aprovação que deverá a ser encaminhada ao Cartório de Registro de Imóveis competente para registro.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2"/>
      </w:pPr>
      <w:r>
        <w:t xml:space="preserve">Capítulo VIII DAS PENALIDADES </w:t>
      </w:r>
    </w:p>
    <w:p w:rsidR="00B90A88" w:rsidRDefault="001362E6">
      <w:pPr>
        <w:spacing w:after="22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28"/>
        <w:ind w:left="-5"/>
      </w:pPr>
      <w:r>
        <w:rPr>
          <w:b/>
        </w:rPr>
        <w:t>Art. 41</w:t>
      </w:r>
      <w:r>
        <w:t xml:space="preserve"> </w:t>
      </w:r>
      <w:r>
        <w:t xml:space="preserve">Os loteamentos ou desmembramentos efetuados sem autorização do Executivo Municipal estarão sujeitos a multa de R$ 2.000,00 (dois mil reais), comunicando-se o fato de imediato ao Ministério Público, sem prejuízo das medidas jurídicas cabíveis. </w:t>
      </w:r>
    </w:p>
    <w:p w:rsidR="00B90A88" w:rsidRDefault="001362E6">
      <w:pPr>
        <w:spacing w:after="22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28"/>
        <w:ind w:left="-5"/>
      </w:pPr>
      <w:r>
        <w:rPr>
          <w:b/>
        </w:rPr>
        <w:t>Art. 42</w:t>
      </w:r>
      <w:r>
        <w:t xml:space="preserve"> O </w:t>
      </w:r>
      <w:r>
        <w:t xml:space="preserve">descumprimento dos prazos determinados para a execução das obras de infraestrutura do loteamento sujeitará o infrator a multa 2.000,00 (dois mil reais) devendo o infrator, no prazo máximo de 30 (trinta) dias, concluir a execução da obra. </w:t>
      </w:r>
    </w:p>
    <w:p w:rsidR="00B90A88" w:rsidRDefault="001362E6">
      <w:pPr>
        <w:spacing w:after="28"/>
        <w:ind w:left="-5"/>
      </w:pPr>
      <w:r>
        <w:t>Parágrafo Único -</w:t>
      </w:r>
      <w:r>
        <w:t xml:space="preserve"> Transcorrido o prazo estabelecido no "caput", será cominada multa de R$ 200,00 (duzentos reais) por dia de inadimplemento da obrigação de fazer, limitada ao valor das obras faltantes para complementação da infraestrutura. </w:t>
      </w:r>
    </w:p>
    <w:p w:rsidR="00B90A88" w:rsidRDefault="001362E6">
      <w:pPr>
        <w:spacing w:after="22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spacing w:after="28"/>
        <w:ind w:left="-5"/>
      </w:pPr>
      <w:r>
        <w:rPr>
          <w:b/>
        </w:rPr>
        <w:t>Art. 43</w:t>
      </w:r>
      <w:r>
        <w:t xml:space="preserve"> Os valores das multas </w:t>
      </w:r>
      <w:r>
        <w:t xml:space="preserve">de que trata esta Lei Complementar serão atualizados, anualmente, por ato do Poder Executivo. </w:t>
      </w:r>
    </w:p>
    <w:p w:rsidR="00B90A88" w:rsidRDefault="001362E6">
      <w:pPr>
        <w:spacing w:after="22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pStyle w:val="Ttulo1"/>
        <w:ind w:right="5"/>
      </w:pPr>
      <w:r>
        <w:t xml:space="preserve">Capítulo IX DAS DISPOSIÇÕES GERAIS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44</w:t>
      </w:r>
      <w:r>
        <w:t xml:space="preserve"> É vedado vender ou prometer vender parcela de loteamento ou desmembramento não aprovado pelo órgão municipal co</w:t>
      </w:r>
      <w:r>
        <w:t xml:space="preserve">mpetente, impondo-se a quem o fizer as penalidades previstas na Lei Federal que regula a matéria, sem prejuízo das demais sanções penais e administrativas.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45</w:t>
      </w:r>
      <w:r>
        <w:t xml:space="preserve"> A responsabilidade pelas diferenças constatadas entre as áreas existentes nos lotes e a p</w:t>
      </w:r>
      <w:r>
        <w:t xml:space="preserve">lanta aprovada será exclusivamente do loteador.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46</w:t>
      </w:r>
      <w:r>
        <w:t xml:space="preserve"> Não poderá ser liberado o alvará para implantação de infra-estrutura de loteamentos pertencentes a loteador que, solicitado o parcelamento, deixar de cumprir determinações administrativas ou possua</w:t>
      </w:r>
      <w:r>
        <w:t xml:space="preserve"> parcelamento irregular.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47</w:t>
      </w:r>
      <w:r>
        <w:t xml:space="preserve"> </w:t>
      </w:r>
      <w:r>
        <w:t>A aprovação do loteamento ou desmembramento não implica em nenhuma responsabilidade por parte do Executivo Municipal quanto a eventuais divergências referentes a dimensões de quadras ou lotes, quanto a direito de terceiros em relação às áreas arruadas ou l</w:t>
      </w:r>
      <w:r>
        <w:t xml:space="preserve">oteadas, nem para quaisquer indenizações decorrentes de despesa para acertar o traçado de ruas que não obedeceram aos arruamentos limítrofes mais antigos.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48</w:t>
      </w:r>
      <w:r>
        <w:t xml:space="preserve"> O Município poderá executar parcelamento para fins sociais de conformidade com a legislaçã</w:t>
      </w:r>
      <w:r>
        <w:t xml:space="preserve">o específica.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rPr>
          <w:b/>
        </w:rPr>
        <w:t>Art. 49</w:t>
      </w:r>
      <w:r>
        <w:t xml:space="preserve"> É da responsabilidade do autor e/ou executor do projeto a elaboração ou execução destes, de conformidade com a legislação municipal, estadual e federal e das demais normas técnicas em vigor, sendo responsável, solidariamente com o </w:t>
      </w:r>
      <w:r>
        <w:t xml:space="preserve">proprietário do loteamento pelas consequências diretas ou indiretas advindas da execução da obra que atinjam e danifiquem: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6"/>
        </w:numPr>
        <w:ind w:hanging="175"/>
      </w:pPr>
      <w:r>
        <w:t xml:space="preserve">- vias e logradouros públicos, infraestrutura urbana, imóveis vizinhos, em particular os considerados de patrimônio cultural;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numPr>
          <w:ilvl w:val="0"/>
          <w:numId w:val="26"/>
        </w:numPr>
        <w:ind w:hanging="175"/>
      </w:pPr>
      <w:r>
        <w:t>-</w:t>
      </w:r>
      <w:r>
        <w:t xml:space="preserve"> o meio ambiente natural. </w:t>
      </w:r>
    </w:p>
    <w:p w:rsidR="00B90A88" w:rsidRDefault="001362E6">
      <w:pPr>
        <w:spacing w:after="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ind w:left="-5"/>
      </w:pPr>
      <w:r>
        <w:t>Parágrafo Único - Os profissionais responsáveis pelo projeto e/ou execução da obra, ao assinarem os projetos e a Anotação de Responsabilidade Técnica - ART respectiva, declaram conhecer e respeitar a legislação municipal, estad</w:t>
      </w:r>
      <w:r>
        <w:t xml:space="preserve">ual e federal que rege a matéria. </w:t>
      </w:r>
    </w:p>
    <w:p w:rsidR="00B90A88" w:rsidRDefault="001362E6">
      <w:pPr>
        <w:spacing w:after="20" w:line="259" w:lineRule="auto"/>
        <w:ind w:left="0" w:firstLine="0"/>
        <w:jc w:val="left"/>
      </w:pPr>
      <w:r>
        <w:t xml:space="preserve"> </w:t>
      </w:r>
    </w:p>
    <w:p w:rsidR="00B90A88" w:rsidRDefault="001362E6">
      <w:pPr>
        <w:pStyle w:val="Ttulo1"/>
        <w:ind w:right="2"/>
      </w:pPr>
      <w:r>
        <w:t xml:space="preserve">Capítulo X DISPOSIÇÕES FINAIS </w:t>
      </w:r>
    </w:p>
    <w:p w:rsidR="00B90A88" w:rsidRDefault="001362E6">
      <w:pPr>
        <w:spacing w:after="0" w:line="259" w:lineRule="auto"/>
        <w:ind w:left="48" w:firstLine="0"/>
        <w:jc w:val="center"/>
      </w:pPr>
      <w:r>
        <w:t xml:space="preserve"> </w:t>
      </w:r>
    </w:p>
    <w:p w:rsidR="00B90A88" w:rsidRDefault="001362E6">
      <w:pPr>
        <w:spacing w:after="227"/>
        <w:ind w:left="-5"/>
      </w:pPr>
      <w:r>
        <w:rPr>
          <w:b/>
        </w:rPr>
        <w:t>Art. 50</w:t>
      </w:r>
      <w:r>
        <w:t xml:space="preserve"> Os projetos de parcelamento protocolados anteriormente à vigência deste Código serão aprovados pela legislação vigente à época. </w:t>
      </w:r>
    </w:p>
    <w:p w:rsidR="00B90A88" w:rsidRDefault="001362E6">
      <w:pPr>
        <w:ind w:left="-5"/>
      </w:pPr>
      <w:r>
        <w:rPr>
          <w:b/>
        </w:rPr>
        <w:t>Art. 51</w:t>
      </w:r>
      <w:r>
        <w:t xml:space="preserve"> </w:t>
      </w:r>
      <w:r>
        <w:t xml:space="preserve">Esta Lei Complementar entra em vigor em 1º de janeiro de 2010. </w:t>
      </w:r>
    </w:p>
    <w:sectPr w:rsidR="00B90A88">
      <w:footerReference w:type="even" r:id="rId10"/>
      <w:footerReference w:type="default" r:id="rId11"/>
      <w:footerReference w:type="first" r:id="rId12"/>
      <w:pgSz w:w="11906" w:h="16838"/>
      <w:pgMar w:top="1464" w:right="1696" w:bottom="1822" w:left="1702" w:header="720" w:footer="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362E6">
      <w:pPr>
        <w:spacing w:after="0" w:line="240" w:lineRule="auto"/>
      </w:pPr>
      <w:r>
        <w:separator/>
      </w:r>
    </w:p>
  </w:endnote>
  <w:endnote w:type="continuationSeparator" w:id="0">
    <w:p w:rsidR="00000000" w:rsidRDefault="0013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0A88" w:rsidRDefault="001362E6">
    <w:pPr>
      <w:spacing w:after="218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B90A88" w:rsidRDefault="001362E6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0A88" w:rsidRDefault="001362E6">
    <w:pPr>
      <w:spacing w:after="218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B90A88" w:rsidRDefault="001362E6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0A88" w:rsidRDefault="001362E6">
    <w:pPr>
      <w:spacing w:after="218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B90A88" w:rsidRDefault="001362E6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362E6">
      <w:pPr>
        <w:spacing w:after="0" w:line="240" w:lineRule="auto"/>
      </w:pPr>
      <w:r>
        <w:separator/>
      </w:r>
    </w:p>
  </w:footnote>
  <w:footnote w:type="continuationSeparator" w:id="0">
    <w:p w:rsidR="00000000" w:rsidRDefault="00136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868"/>
    <w:multiLevelType w:val="hybridMultilevel"/>
    <w:tmpl w:val="76A038F8"/>
    <w:lvl w:ilvl="0" w:tplc="D1682BFA">
      <w:start w:val="1"/>
      <w:numFmt w:val="upperRoman"/>
      <w:lvlText w:val="%1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294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FE05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ABF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9627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CEC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6BD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CE8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84A6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D66A6"/>
    <w:multiLevelType w:val="hybridMultilevel"/>
    <w:tmpl w:val="69BE097A"/>
    <w:lvl w:ilvl="0" w:tplc="D2C08E6C">
      <w:start w:val="1"/>
      <w:numFmt w:val="upperRoman"/>
      <w:lvlText w:val="%1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AF7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253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6C8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402C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A63E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E0AD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2DC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D8A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DB20F3"/>
    <w:multiLevelType w:val="hybridMultilevel"/>
    <w:tmpl w:val="758013B6"/>
    <w:lvl w:ilvl="0" w:tplc="7D7809C6">
      <w:start w:val="1"/>
      <w:numFmt w:val="upperRoman"/>
      <w:lvlText w:val="%1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7E73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21D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8CBA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848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4A42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E31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9EFA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CA0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F60588"/>
    <w:multiLevelType w:val="hybridMultilevel"/>
    <w:tmpl w:val="CC9AB250"/>
    <w:lvl w:ilvl="0" w:tplc="2F041A94">
      <w:start w:val="1"/>
      <w:numFmt w:val="upperRoman"/>
      <w:lvlText w:val="%1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AE01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CE55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0AD0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CE17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A3D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664F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C91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040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2F2234"/>
    <w:multiLevelType w:val="hybridMultilevel"/>
    <w:tmpl w:val="AAD0608E"/>
    <w:lvl w:ilvl="0" w:tplc="A2A2B918">
      <w:start w:val="1"/>
      <w:numFmt w:val="upperRoman"/>
      <w:lvlText w:val="%1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039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A482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EC30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38F3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602A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44E5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C9C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A077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637E32"/>
    <w:multiLevelType w:val="hybridMultilevel"/>
    <w:tmpl w:val="52CCF556"/>
    <w:lvl w:ilvl="0" w:tplc="84460B5C">
      <w:start w:val="1"/>
      <w:numFmt w:val="upperRoman"/>
      <w:lvlText w:val="%1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EE4F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895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2E4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02F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C89F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EA9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0481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6883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8D0330"/>
    <w:multiLevelType w:val="hybridMultilevel"/>
    <w:tmpl w:val="EBBAEB40"/>
    <w:lvl w:ilvl="0" w:tplc="81C298A2">
      <w:start w:val="1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60E1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BA6C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2427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AE8E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230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283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AE8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207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79718D"/>
    <w:multiLevelType w:val="hybridMultilevel"/>
    <w:tmpl w:val="DF9C1F0C"/>
    <w:lvl w:ilvl="0" w:tplc="771E15BE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3278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6253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D646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4EF4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84F3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EAC3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84B5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E50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950B8A"/>
    <w:multiLevelType w:val="hybridMultilevel"/>
    <w:tmpl w:val="A692C200"/>
    <w:lvl w:ilvl="0" w:tplc="1938C7D2">
      <w:start w:val="1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B207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6E57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EF4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94F8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6293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F879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706D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645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9931FE"/>
    <w:multiLevelType w:val="hybridMultilevel"/>
    <w:tmpl w:val="168070BE"/>
    <w:lvl w:ilvl="0" w:tplc="A022A5FC">
      <w:start w:val="1"/>
      <w:numFmt w:val="upperRoman"/>
      <w:lvlText w:val="%1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AFD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EACF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E82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EF6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DEB2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5AFC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2054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D42B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9D0057"/>
    <w:multiLevelType w:val="hybridMultilevel"/>
    <w:tmpl w:val="81D082FE"/>
    <w:lvl w:ilvl="0" w:tplc="C7884D02">
      <w:start w:val="2"/>
      <w:numFmt w:val="lowerLetter"/>
      <w:lvlText w:val="%1)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A77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42DF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4D5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9452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600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64D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C30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844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6839BD"/>
    <w:multiLevelType w:val="hybridMultilevel"/>
    <w:tmpl w:val="93F21D74"/>
    <w:lvl w:ilvl="0" w:tplc="663C691A">
      <w:start w:val="1"/>
      <w:numFmt w:val="upperRoman"/>
      <w:lvlText w:val="%1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168E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CE4D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963C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65E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2E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9496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924D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12D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135D0B"/>
    <w:multiLevelType w:val="hybridMultilevel"/>
    <w:tmpl w:val="7E1ED996"/>
    <w:lvl w:ilvl="0" w:tplc="EF46DBB2">
      <w:start w:val="8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4283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2C86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A8B1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A9B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CEC7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DCCE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CE1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1648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281259"/>
    <w:multiLevelType w:val="hybridMultilevel"/>
    <w:tmpl w:val="2068B434"/>
    <w:lvl w:ilvl="0" w:tplc="BF943324">
      <w:start w:val="1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8AA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2FD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23A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AAE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EDC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4A3F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CA60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D475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030121"/>
    <w:multiLevelType w:val="hybridMultilevel"/>
    <w:tmpl w:val="16AAD3EA"/>
    <w:lvl w:ilvl="0" w:tplc="38CE9F20">
      <w:start w:val="1"/>
      <w:numFmt w:val="upperRoman"/>
      <w:lvlText w:val="%1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01C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08C8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E203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8F9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825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CB4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B863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422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3165E1"/>
    <w:multiLevelType w:val="hybridMultilevel"/>
    <w:tmpl w:val="8E106A6A"/>
    <w:lvl w:ilvl="0" w:tplc="EBCEC1A8">
      <w:start w:val="1"/>
      <w:numFmt w:val="upperRoman"/>
      <w:lvlText w:val="%1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2DB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F20E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0805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F07A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AC4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50EB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01E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B294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BC1AE7"/>
    <w:multiLevelType w:val="hybridMultilevel"/>
    <w:tmpl w:val="7F5C8E08"/>
    <w:lvl w:ilvl="0" w:tplc="4934DDFE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E4E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E8AC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12C5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2ADA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2CA8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04B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1C9B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1670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CF3E48"/>
    <w:multiLevelType w:val="hybridMultilevel"/>
    <w:tmpl w:val="43A8EA46"/>
    <w:lvl w:ilvl="0" w:tplc="FD70375A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AEB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6C02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1A1D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8CC9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8FA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273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C646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24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F805EF8"/>
    <w:multiLevelType w:val="hybridMultilevel"/>
    <w:tmpl w:val="16F63646"/>
    <w:lvl w:ilvl="0" w:tplc="64603204">
      <w:start w:val="1"/>
      <w:numFmt w:val="upperRoman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0A2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4C9C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901C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EFB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6AC4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6AFE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3266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A39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040AEB"/>
    <w:multiLevelType w:val="hybridMultilevel"/>
    <w:tmpl w:val="086EE40E"/>
    <w:lvl w:ilvl="0" w:tplc="A960630E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4E6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80AD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6439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0016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7C23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DEA4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66B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72F6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FB4DC6"/>
    <w:multiLevelType w:val="hybridMultilevel"/>
    <w:tmpl w:val="DE527FCC"/>
    <w:lvl w:ilvl="0" w:tplc="13060A16">
      <w:start w:val="1"/>
      <w:numFmt w:val="upperRoman"/>
      <w:lvlText w:val="%1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8407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5873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AAF2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C02F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4A4D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29D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2A34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A76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69530B"/>
    <w:multiLevelType w:val="hybridMultilevel"/>
    <w:tmpl w:val="0474119C"/>
    <w:lvl w:ilvl="0" w:tplc="E0442D74">
      <w:start w:val="1"/>
      <w:numFmt w:val="upperRoman"/>
      <w:lvlText w:val="%1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4097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2452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00C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EE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0C1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2A8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FA3F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203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8E523A"/>
    <w:multiLevelType w:val="hybridMultilevel"/>
    <w:tmpl w:val="6C183002"/>
    <w:lvl w:ilvl="0" w:tplc="03726C34">
      <w:start w:val="1"/>
      <w:numFmt w:val="upperRoman"/>
      <w:lvlText w:val="%1"/>
      <w:lvlJc w:val="left"/>
      <w:pPr>
        <w:ind w:left="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1685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7AD3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0A79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6E8D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18A2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013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D68E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8E08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9C2078"/>
    <w:multiLevelType w:val="hybridMultilevel"/>
    <w:tmpl w:val="B186F748"/>
    <w:lvl w:ilvl="0" w:tplc="4AD2C570">
      <w:start w:val="1"/>
      <w:numFmt w:val="upperRoman"/>
      <w:lvlText w:val="%1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602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A49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2E61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B818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AA0D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206D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C2C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867F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AE127C"/>
    <w:multiLevelType w:val="hybridMultilevel"/>
    <w:tmpl w:val="C5C6B39A"/>
    <w:lvl w:ilvl="0" w:tplc="C944D9AA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E208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EB2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E2BE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4C01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C0501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4640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6A3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266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E35E90"/>
    <w:multiLevelType w:val="hybridMultilevel"/>
    <w:tmpl w:val="EF9A6A4A"/>
    <w:lvl w:ilvl="0" w:tplc="2EEA433C">
      <w:start w:val="3"/>
      <w:numFmt w:val="upperRoman"/>
      <w:lvlText w:val="%1"/>
      <w:lvlJc w:val="left"/>
      <w:pPr>
        <w:ind w:left="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64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0F0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5681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F411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0BA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6089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7E76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3465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2595495">
    <w:abstractNumId w:val="22"/>
  </w:num>
  <w:num w:numId="2" w16cid:durableId="1265112684">
    <w:abstractNumId w:val="17"/>
  </w:num>
  <w:num w:numId="3" w16cid:durableId="1071002137">
    <w:abstractNumId w:val="13"/>
  </w:num>
  <w:num w:numId="4" w16cid:durableId="636297521">
    <w:abstractNumId w:val="4"/>
  </w:num>
  <w:num w:numId="5" w16cid:durableId="1520581092">
    <w:abstractNumId w:val="6"/>
  </w:num>
  <w:num w:numId="6" w16cid:durableId="180432468">
    <w:abstractNumId w:val="2"/>
  </w:num>
  <w:num w:numId="7" w16cid:durableId="1931936349">
    <w:abstractNumId w:val="9"/>
  </w:num>
  <w:num w:numId="8" w16cid:durableId="1083189144">
    <w:abstractNumId w:val="21"/>
  </w:num>
  <w:num w:numId="9" w16cid:durableId="497043313">
    <w:abstractNumId w:val="14"/>
  </w:num>
  <w:num w:numId="10" w16cid:durableId="487744784">
    <w:abstractNumId w:val="5"/>
  </w:num>
  <w:num w:numId="11" w16cid:durableId="346375096">
    <w:abstractNumId w:val="1"/>
  </w:num>
  <w:num w:numId="12" w16cid:durableId="746808684">
    <w:abstractNumId w:val="15"/>
  </w:num>
  <w:num w:numId="13" w16cid:durableId="375204504">
    <w:abstractNumId w:val="19"/>
  </w:num>
  <w:num w:numId="14" w16cid:durableId="527453447">
    <w:abstractNumId w:val="24"/>
  </w:num>
  <w:num w:numId="15" w16cid:durableId="1414279775">
    <w:abstractNumId w:val="10"/>
  </w:num>
  <w:num w:numId="16" w16cid:durableId="827281851">
    <w:abstractNumId w:val="20"/>
  </w:num>
  <w:num w:numId="17" w16cid:durableId="2081096626">
    <w:abstractNumId w:val="18"/>
  </w:num>
  <w:num w:numId="18" w16cid:durableId="307443558">
    <w:abstractNumId w:val="7"/>
  </w:num>
  <w:num w:numId="19" w16cid:durableId="1158571984">
    <w:abstractNumId w:val="25"/>
  </w:num>
  <w:num w:numId="20" w16cid:durableId="1243950716">
    <w:abstractNumId w:val="16"/>
  </w:num>
  <w:num w:numId="21" w16cid:durableId="719548959">
    <w:abstractNumId w:val="12"/>
  </w:num>
  <w:num w:numId="22" w16cid:durableId="903955911">
    <w:abstractNumId w:val="0"/>
  </w:num>
  <w:num w:numId="23" w16cid:durableId="937636935">
    <w:abstractNumId w:val="8"/>
  </w:num>
  <w:num w:numId="24" w16cid:durableId="368459076">
    <w:abstractNumId w:val="11"/>
  </w:num>
  <w:num w:numId="25" w16cid:durableId="864634598">
    <w:abstractNumId w:val="23"/>
  </w:num>
  <w:num w:numId="26" w16cid:durableId="671377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88"/>
    <w:rsid w:val="001362E6"/>
    <w:rsid w:val="00B9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"/>
      <w:ind w:left="10" w:hanging="10"/>
      <w:jc w:val="center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ismunicipais.com.br/a/sc/b/blumenau/lei-complementar/2006/61/615/lei-complementar-n-615-2006-dispoe-sobre-o-plano-diretor-do-municipio-de-blumena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ismunicipais.com.br/a/sc/b/blumenau/lei-complementar/2006/61/615/lei-complementar-n-615-2006-dispoe-sobre-o-plano-diretor-do-municipio-de-blumenau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ismunicipais.com.br/a/sc/b/blumenau/lei-complementar/2006/61/615/lei-complementar-n-615-2006-dispoe-sobre-o-plano-diretor-do-municipio-de-blumena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4795</Words>
  <Characters>25894</Characters>
  <Application>Microsoft Office Word</Application>
  <DocSecurity>4</DocSecurity>
  <Lines>215</Lines>
  <Paragraphs>61</Paragraphs>
  <ScaleCrop>false</ScaleCrop>
  <Company/>
  <LinksUpToDate>false</LinksUpToDate>
  <CharactersWithSpaces>30628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Andréia Lina Maul Rauch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