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7B83" w:rsidRDefault="003575A7">
      <w:pPr>
        <w:ind w:left="-5"/>
      </w:pPr>
      <w:r>
        <w:t xml:space="preserve">LEI COMPLEMENTAR Nº 1146, DE 28 DE SETEMBRO DE 2017.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spacing w:after="20" w:line="239" w:lineRule="auto"/>
        <w:ind w:left="300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1887042</wp:posOffset>
                </wp:positionH>
                <wp:positionV relativeFrom="paragraph">
                  <wp:posOffset>593411</wp:posOffset>
                </wp:positionV>
                <wp:extent cx="3533267" cy="164592"/>
                <wp:effectExtent l="0" t="0" r="0" b="0"/>
                <wp:wrapNone/>
                <wp:docPr id="4874" name="Group 4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3267" cy="164592"/>
                          <a:chOff x="0" y="0"/>
                          <a:chExt cx="3533267" cy="164592"/>
                        </a:xfrm>
                      </wpg:grpSpPr>
                      <wps:wsp>
                        <wps:cNvPr id="5737" name="Shape 5737"/>
                        <wps:cNvSpPr/>
                        <wps:spPr>
                          <a:xfrm>
                            <a:off x="2805938" y="0"/>
                            <a:ext cx="3355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585" h="9144">
                                <a:moveTo>
                                  <a:pt x="0" y="0"/>
                                </a:moveTo>
                                <a:lnTo>
                                  <a:pt x="335585" y="0"/>
                                </a:lnTo>
                                <a:lnTo>
                                  <a:pt x="3355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8" name="Shape 5738"/>
                        <wps:cNvSpPr/>
                        <wps:spPr>
                          <a:xfrm>
                            <a:off x="0" y="6096"/>
                            <a:ext cx="3533267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267" h="158496">
                                <a:moveTo>
                                  <a:pt x="0" y="0"/>
                                </a:moveTo>
                                <a:lnTo>
                                  <a:pt x="3533267" y="0"/>
                                </a:lnTo>
                                <a:lnTo>
                                  <a:pt x="3533267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74" style="width:278.21pt;height:12.96pt;position:absolute;z-index:-2147483630;mso-position-horizontal-relative:text;mso-position-horizontal:absolute;margin-left:148.586pt;mso-position-vertical-relative:text;margin-top:46.7253pt;" coordsize="35332,1645">
                <v:shape id="Shape 5739" style="position:absolute;width:3355;height:91;left:28059;top:0;" coordsize="335585,9144" path="m0,0l335585,0l335585,9144l0,9144l0,0">
                  <v:stroke weight="0pt" endcap="flat" joinstyle="miter" miterlimit="10" on="false" color="#000000" opacity="0"/>
                  <v:fill on="true" color="#000000"/>
                </v:shape>
                <v:shape id="Shape 5740" style="position:absolute;width:35332;height:1584;left:0;top:60;" coordsize="3533267,158496" path="m0,0l3533267,0l3533267,158496l0,158496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sz w:val="22"/>
        </w:rPr>
        <w:t>ESTABELECE CRITÉRIOS PARA A REGULARIZAÇÃO E COMPENSAÇÃO URBANÍSTICA DE EDIFICAÇÕES EM DESACORDO COM A LEGISLAÇÃO URBANÍTICA E REVOGA A LEI COMPLEMENTAR Nº</w:t>
      </w:r>
      <w:hyperlink r:id="rId5">
        <w:r>
          <w:rPr>
            <w:sz w:val="22"/>
          </w:rPr>
          <w:t xml:space="preserve"> </w:t>
        </w:r>
      </w:hyperlink>
      <w:hyperlink r:id="rId6">
        <w:r>
          <w:rPr>
            <w:sz w:val="22"/>
          </w:rPr>
          <w:t>1024</w:t>
        </w:r>
      </w:hyperlink>
      <w:hyperlink r:id="rId7">
        <w:r>
          <w:rPr>
            <w:sz w:val="22"/>
          </w:rPr>
          <w:t>,</w:t>
        </w:r>
      </w:hyperlink>
      <w:r>
        <w:rPr>
          <w:sz w:val="22"/>
        </w:rPr>
        <w:t xml:space="preserve"> DE 18 DE DEZEMBRO DE 2015.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5126177</wp:posOffset>
                </wp:positionH>
                <wp:positionV relativeFrom="paragraph">
                  <wp:posOffset>302178</wp:posOffset>
                </wp:positionV>
                <wp:extent cx="274320" cy="6096"/>
                <wp:effectExtent l="0" t="0" r="0" b="0"/>
                <wp:wrapNone/>
                <wp:docPr id="4877" name="Group 4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6096"/>
                          <a:chOff x="0" y="0"/>
                          <a:chExt cx="274320" cy="6096"/>
                        </a:xfrm>
                      </wpg:grpSpPr>
                      <wps:wsp>
                        <wps:cNvPr id="5741" name="Shape 5741"/>
                        <wps:cNvSpPr/>
                        <wps:spPr>
                          <a:xfrm>
                            <a:off x="0" y="0"/>
                            <a:ext cx="274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9144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77" style="width:21.6pt;height:0.47998pt;position:absolute;z-index:32;mso-position-horizontal-relative:text;mso-position-horizontal:absolute;margin-left:403.636pt;mso-position-vertical-relative:text;margin-top:23.7935pt;" coordsize="2743,60">
                <v:shape id="Shape 5742" style="position:absolute;width:2743;height:91;left:0;top:0;" coordsize="274320,9144" path="m0,0l274320,0l274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474391</wp:posOffset>
                </wp:positionV>
                <wp:extent cx="731520" cy="6096"/>
                <wp:effectExtent l="0" t="0" r="0" b="0"/>
                <wp:wrapNone/>
                <wp:docPr id="4878" name="Group 4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" cy="6096"/>
                          <a:chOff x="0" y="0"/>
                          <a:chExt cx="731520" cy="6096"/>
                        </a:xfrm>
                      </wpg:grpSpPr>
                      <wps:wsp>
                        <wps:cNvPr id="5743" name="Shape 5743"/>
                        <wps:cNvSpPr/>
                        <wps:spPr>
                          <a:xfrm>
                            <a:off x="0" y="0"/>
                            <a:ext cx="7315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" h="9144">
                                <a:moveTo>
                                  <a:pt x="0" y="0"/>
                                </a:moveTo>
                                <a:lnTo>
                                  <a:pt x="731520" y="0"/>
                                </a:lnTo>
                                <a:lnTo>
                                  <a:pt x="7315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78" style="width:57.6pt;height:0.47998pt;position:absolute;z-index:37;mso-position-horizontal-relative:text;mso-position-horizontal:absolute;margin-left:0pt;mso-position-vertical-relative:text;margin-top:37.3536pt;" coordsize="7315,60">
                <v:shape id="Shape 5744" style="position:absolute;width:7315;height:91;left:0;top:0;" coordsize="731520,9144" path="m0,0l731520,0l7315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NAPOLEÃO BERNARDES, Prefeito Municipal de Blumenau, no uso da atribu</w:t>
      </w:r>
      <w:r>
        <w:t>ição que lhe confere o artigo 59, V, da</w:t>
      </w:r>
      <w:hyperlink r:id="rId8">
        <w:r>
          <w:t xml:space="preserve"> </w:t>
        </w:r>
      </w:hyperlink>
      <w:hyperlink r:id="rId9">
        <w:r>
          <w:t xml:space="preserve">Lei </w:t>
        </w:r>
      </w:hyperlink>
      <w:hyperlink r:id="rId10">
        <w:r>
          <w:t>Orgânica</w:t>
        </w:r>
      </w:hyperlink>
      <w:hyperlink r:id="rId11">
        <w:r>
          <w:t xml:space="preserve"> </w:t>
        </w:r>
      </w:hyperlink>
      <w:r>
        <w:t>do Município de Blumenau, faz</w:t>
      </w:r>
      <w:r>
        <w:t xml:space="preserve"> saber que a Câmara Municipal aprovou e ele sanciona e promulga a seguinte Lei Complementar: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b/>
        </w:rPr>
        <w:t>Art. 1º</w:t>
      </w:r>
      <w:r>
        <w:t xml:space="preserve"> A presente Lei Complementar estabelece critérios para a análise e aprovação de edificações que estejam em desconformidade com a legislação urbanística, </w:t>
      </w:r>
      <w:r>
        <w:t xml:space="preserve">em especial os Códigos de Edificação e de Zoneamento, Uso e Ocupação do </w:t>
      </w:r>
    </w:p>
    <w:p w:rsidR="00D07B83" w:rsidRDefault="003575A7">
      <w:pPr>
        <w:ind w:left="-5"/>
      </w:pPr>
      <w:r>
        <w:t xml:space="preserve">Solo do Município de Blumenau.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b/>
        </w:rPr>
        <w:t>Art. 2º</w:t>
      </w:r>
      <w:r>
        <w:t xml:space="preserve"> As edificações a serem regularizadas deverão abrigar os usos e as atividades adequadas ao zoneamento vigente.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b/>
        </w:rPr>
        <w:t>Art. 3º</w:t>
      </w:r>
      <w:r>
        <w:t xml:space="preserve"> </w:t>
      </w:r>
      <w:r>
        <w:t xml:space="preserve">O requerimento para o processo de regularização deverá ser instruído com: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I - documento de comprovação de que a edificação foi construída antes de 31 de dezembro de 2014, podendo ser apresentado: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1"/>
        </w:numPr>
        <w:ind w:hanging="432"/>
      </w:pPr>
      <w:r>
        <w:t xml:space="preserve">carnê do IPTU - Imposto Predial e Territorial Urbano;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1"/>
        </w:numPr>
        <w:ind w:hanging="432"/>
      </w:pPr>
      <w:r>
        <w:t xml:space="preserve">plantas aerofotogramétricas;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1"/>
        </w:numPr>
        <w:ind w:hanging="432"/>
      </w:pPr>
      <w:r>
        <w:t xml:space="preserve">imagens de satélite;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1"/>
        </w:numPr>
        <w:ind w:hanging="432"/>
      </w:pPr>
      <w:r>
        <w:t xml:space="preserve">fotos ou outros documentos que vinculem a edificação à data de registro da imagem.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2"/>
        </w:numPr>
      </w:pPr>
      <w:r>
        <w:t xml:space="preserve">- </w:t>
      </w:r>
      <w:r>
        <w:t xml:space="preserve">documento de responsabilidade técnica (ART ou RRT) emitido por profissional legalmente habilitado;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2"/>
        </w:numPr>
      </w:pPr>
      <w:r>
        <w:t xml:space="preserve">- projetos da edificação com a descrição das irregularidades existentes e a sua respectiva metragem;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2"/>
        </w:numPr>
      </w:pPr>
      <w:r>
        <w:t>- outras questões técnicas que o profissional habi</w:t>
      </w:r>
      <w:r>
        <w:t xml:space="preserve">litado julgar pertinentes.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b/>
        </w:rPr>
        <w:lastRenderedPageBreak/>
        <w:t>Art. 4º</w:t>
      </w:r>
      <w:r>
        <w:t xml:space="preserve"> Poderão ser objeto de regularização as edificações que não atendam os seguintes requisitos da legislação urbanística: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3"/>
        </w:numPr>
        <w:ind w:hanging="576"/>
      </w:pPr>
      <w:r>
        <w:t xml:space="preserve">- taxa de ocupação;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3"/>
        </w:numPr>
        <w:ind w:hanging="576"/>
      </w:pPr>
      <w:r>
        <w:t xml:space="preserve">- coeficiente de aproveitamento;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3"/>
        </w:numPr>
        <w:ind w:hanging="576"/>
      </w:pPr>
      <w:r>
        <w:t xml:space="preserve">- recuo frontal, lateral, de fundos e </w:t>
      </w:r>
      <w:r>
        <w:t xml:space="preserve">entre edificações;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3"/>
        </w:numPr>
        <w:ind w:hanging="576"/>
      </w:pPr>
      <w:r>
        <w:t xml:space="preserve">- altura da edificação;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3"/>
        </w:numPr>
        <w:ind w:hanging="576"/>
      </w:pPr>
      <w:r>
        <w:t xml:space="preserve">- piso a piso menor que 2,70m (dois metros e setenta centímetros);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3"/>
        </w:numPr>
        <w:ind w:hanging="576"/>
      </w:pPr>
      <w:r>
        <w:t xml:space="preserve">- instalação sanitária separada por sexo;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3"/>
        </w:numPr>
        <w:ind w:hanging="576"/>
      </w:pPr>
      <w:r>
        <w:t xml:space="preserve">- área permeável;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3"/>
        </w:numPr>
        <w:ind w:hanging="576"/>
      </w:pPr>
      <w:r>
        <w:t xml:space="preserve">- área destinada a equipamentos para lazer ou recreação;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3"/>
        </w:numPr>
        <w:ind w:hanging="576"/>
      </w:pPr>
      <w:r>
        <w:t xml:space="preserve">- vagas de </w:t>
      </w:r>
      <w:r>
        <w:t xml:space="preserve">bicicleta, automóvel ou multifuncional e sua respectiva área de manobra;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3"/>
        </w:numPr>
        <w:ind w:hanging="576"/>
      </w:pPr>
      <w:r>
        <w:t xml:space="preserve">- </w:t>
      </w:r>
      <w:r>
        <w:t xml:space="preserve">compartimentos de permanência prolongada, determinados no Código de Edificação, sem abertura para o exterior;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3"/>
        </w:numPr>
        <w:spacing w:after="0" w:line="259" w:lineRule="auto"/>
        <w:ind w:hanging="576"/>
      </w:pPr>
      <w:r>
        <w:rPr>
          <w:color w:val="FF0000"/>
        </w:rPr>
        <w:t xml:space="preserve">- construção sobre alinhamento oficial;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4"/>
        </w:numPr>
        <w:spacing w:after="0" w:line="259" w:lineRule="auto"/>
        <w:ind w:hanging="432"/>
        <w:jc w:val="left"/>
      </w:pPr>
      <w:r>
        <w:rPr>
          <w:color w:val="0000FF"/>
        </w:rPr>
        <w:t xml:space="preserve">- construção sobre alinhamento predial;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4"/>
        </w:numPr>
        <w:ind w:hanging="432"/>
        <w:jc w:val="left"/>
      </w:pPr>
      <w:r>
        <w:t>- edificação sobre tubulação ou FSNE - Faixa Sanitária Nã</w:t>
      </w:r>
      <w:r>
        <w:t xml:space="preserve">o Edificante mediante parecer favorável do órgão municipal competente.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§ 1º Será tolerada a regularização de edificações: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5"/>
        </w:numPr>
      </w:pPr>
      <w:r>
        <w:t xml:space="preserve">com abertura na divisa ou com menos de 1,5m (um metro e meio) desta, resguardado o direito de vizinhança estabelecido no art. 1.302 e parágrafo único do Código </w:t>
      </w:r>
    </w:p>
    <w:p w:rsidR="00D07B83" w:rsidRDefault="003575A7">
      <w:pPr>
        <w:ind w:left="-5"/>
      </w:pPr>
      <w:r>
        <w:t xml:space="preserve">Civil;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5"/>
        </w:numPr>
      </w:pPr>
      <w:r>
        <w:t xml:space="preserve">com uso não residencial abaixo da cota de enchente 10 (dez) metros.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5"/>
        </w:numPr>
      </w:pPr>
      <w:r>
        <w:t>que estejam co</w:t>
      </w:r>
      <w:r>
        <w:t xml:space="preserve">nstruídas em balanço sobre a via pública, desde que respeitem: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6"/>
        </w:numPr>
      </w:pPr>
      <w:r>
        <w:lastRenderedPageBreak/>
        <w:t xml:space="preserve">A distância da fiação elétrica determinada pelo órgão responsável;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6"/>
        </w:numPr>
      </w:pPr>
      <w:r>
        <w:t xml:space="preserve">A altura livre mínima de 2,5m (dois metros e cinquenta centímetros) em relação à via;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6"/>
        </w:numPr>
      </w:pPr>
      <w:r>
        <w:t xml:space="preserve">O afastamento de 80cm (oitenta centímetros) do meio fio ou parecer favorável do órgão municipal competente em caso de medida inferior.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b/>
        </w:rPr>
        <w:t>Art. 5º</w:t>
      </w:r>
      <w:r>
        <w:t xml:space="preserve"> A compensação urbanís</w:t>
      </w:r>
      <w:r>
        <w:t xml:space="preserve">tica será calculada pela seguinte fórmula: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VC = A x VR x IC x ZF </w:t>
      </w:r>
    </w:p>
    <w:p w:rsidR="00D07B83" w:rsidRDefault="003575A7">
      <w:pPr>
        <w:ind w:left="-5" w:right="7644"/>
      </w:pPr>
      <w:r>
        <w:t xml:space="preserve"> Onde: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VC = valor da compensação;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A = área em desacordo com a legislação;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VR = Valor de Referência - equivalente a </w:t>
      </w:r>
    </w:p>
    <w:p w:rsidR="00D07B83" w:rsidRDefault="003575A7">
      <w:pPr>
        <w:ind w:left="-5"/>
      </w:pPr>
      <w:r>
        <w:t>R$ 998,19 (novecentos e noventa e oito reais e dezenove centav</w:t>
      </w:r>
      <w:r>
        <w:t xml:space="preserve">os);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IC = Índice de Compensação, conforme determinado no Anexo </w:t>
      </w:r>
    </w:p>
    <w:p w:rsidR="00D07B83" w:rsidRDefault="003575A7">
      <w:pPr>
        <w:ind w:left="-5"/>
      </w:pPr>
      <w:r>
        <w:t xml:space="preserve">Único, que faz parte integrante desta Lei Complementar;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ZF = Zona Fiscal: o coeficiente de multiplicação será definido pela zona fiscal de localização do imóvel, sendo: </w:t>
      </w:r>
    </w:p>
    <w:p w:rsidR="00D07B83" w:rsidRDefault="003575A7">
      <w:pPr>
        <w:spacing w:after="0" w:line="259" w:lineRule="auto"/>
        <w:ind w:left="138" w:firstLine="0"/>
        <w:jc w:val="center"/>
      </w:pPr>
      <w:r>
        <w:t xml:space="preserve"> </w:t>
      </w:r>
    </w:p>
    <w:p w:rsidR="00D07B83" w:rsidRDefault="003575A7">
      <w:pPr>
        <w:pStyle w:val="Ttulo1"/>
        <w:ind w:right="6"/>
      </w:pPr>
      <w:r>
        <w:t xml:space="preserve">ZF 1 = 1,0 </w:t>
      </w:r>
    </w:p>
    <w:p w:rsidR="00D07B83" w:rsidRDefault="003575A7">
      <w:pPr>
        <w:ind w:left="3531" w:right="3032" w:hanging="72"/>
      </w:pPr>
      <w:r>
        <w:t xml:space="preserve">ZF 2 = 0,75 ZF 3 = 0,5 </w:t>
      </w:r>
    </w:p>
    <w:p w:rsidR="00D07B83" w:rsidRDefault="003575A7">
      <w:pPr>
        <w:pStyle w:val="Ttulo1"/>
        <w:ind w:right="6"/>
      </w:pPr>
      <w:r>
        <w:t xml:space="preserve">ZF 4 = 0,25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§ 1º O Valor de Referência será atualizado por ato do Chefe do Poder Executivo na mesma data e pelo mesmo índice aplicado aos demais preços e tributos municipais.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>§ 2º A Zona Fiscal, definida no Códig</w:t>
      </w:r>
      <w:r>
        <w:t xml:space="preserve">o Tributário Municipal, é informada no cadastro do imóvel.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b/>
        </w:rPr>
        <w:t>Art. 6º</w:t>
      </w:r>
      <w:r>
        <w:t xml:space="preserve"> A compensação urbanística somente incidirá sobre as áreas que estiverem em desacordo com os itens apresentados no art. 4º e utilizarão o índice de compensação conforme determinado no Ane</w:t>
      </w:r>
      <w:r>
        <w:t xml:space="preserve">xo Único.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>Parágrafo único. Na hipótese da edificação a ser regularizada exceder a taxa de ocupação ou o coeficiente de aproveitamento e estiver localizada em zoneamentos que permitam a outorga onerosa do direito de construir, deverá ser utilizada os índ</w:t>
      </w:r>
      <w:r>
        <w:t xml:space="preserve">ices da outorga até o máximo permitido em Lei, e sobre o excedente construído será utilizado a compensação urbanística, nos termos do Anexo Único.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b/>
        </w:rPr>
        <w:t>Art. 7º</w:t>
      </w:r>
      <w:r>
        <w:t xml:space="preserve"> </w:t>
      </w:r>
      <w:r>
        <w:t xml:space="preserve">Quando houver mais de um item em desacordo com a legislação urbanística, estes deverão ser somados, de forma que a compensação urbanística seja calculada pela soma destas áreas.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b/>
        </w:rPr>
        <w:t>Art. 8º</w:t>
      </w:r>
      <w:r>
        <w:t xml:space="preserve"> O valor auferido como compensação urbanística poderá ser pago em at</w:t>
      </w:r>
      <w:r>
        <w:t xml:space="preserve">é 60 (sessenta) parcelas mensais, desde que cada parcela seja de, no mínimo, R$ 20,00 (vinte reais) para pessoa física e de R$ 50,00 (cinquenta reais) para pessoa jurídica.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>§ 1º Ao valor parcelado deverá ser aplicado juros conforme determinado no Código</w:t>
      </w:r>
      <w:r>
        <w:t xml:space="preserve"> Tributário Municipal.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§ 2º O não pagamento de 03 (três) parcelas consecutivas ou não, implicará no cancelamento do parcelamento com a imediata inscrição em dívida ativa do saldo remanescente.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>§ 3º É facultado ao contribuinte antecipar parcial ou tot</w:t>
      </w:r>
      <w:r>
        <w:t xml:space="preserve">almente o valor de parcelas vincendas com o abatimento dos juros.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§ 4º O Alvará de construção somente poderá ser retirado após o pagamento da compensação urbanística em única parcela ou, se parcelado, após a assinatura do Termo de Confissão de Dívida e </w:t>
      </w:r>
      <w:r>
        <w:t xml:space="preserve">Promessa de Pagamento de Débito Não Tributário.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t xml:space="preserve">§ 5º A emissão do Habite-se da edificação fica condicionada ao pagamento integral da compensação urbanística.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b/>
        </w:rPr>
        <w:t>Art. 9º</w:t>
      </w:r>
      <w:r>
        <w:t xml:space="preserve"> </w:t>
      </w:r>
      <w:r>
        <w:t xml:space="preserve">Os valores auferidos serão depositados em conta específica, administrada pela Secretaria de Desenvolvimento </w:t>
      </w:r>
    </w:p>
    <w:p w:rsidR="00D07B83" w:rsidRDefault="003575A7">
      <w:pPr>
        <w:ind w:left="-5"/>
      </w:pPr>
      <w:r>
        <w:t xml:space="preserve">Urbano - SEDUR, e serão destinados: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7"/>
        </w:numPr>
      </w:pPr>
      <w:r>
        <w:t>- ao financiamento de projetos e programas voltados ao planejamento urbano, controle e fiscalização de obras</w:t>
      </w:r>
      <w:r>
        <w:t xml:space="preserve">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7"/>
        </w:numPr>
      </w:pPr>
      <w:r>
        <w:t xml:space="preserve">- ao aparelhamento dos órgãos ligados ao planejamento urbano, análise de projetos e fiscalização de obras;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7"/>
        </w:numPr>
      </w:pPr>
      <w:r>
        <w:t xml:space="preserve">- à capacitação dos profissionais do município ligados ao planejamento urbano, controle e fiscalização de obras;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7"/>
        </w:numPr>
      </w:pPr>
      <w:r>
        <w:t>- à capacitação da comuni</w:t>
      </w:r>
      <w:r>
        <w:t xml:space="preserve">dade quanto à aplicação das legislações urbanísticas vigentes;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7"/>
        </w:numPr>
      </w:pPr>
      <w:r>
        <w:t xml:space="preserve">- ao pagamento de despesas de publicações de materiais voltados à divulgação da legislação vigente;  </w:t>
      </w:r>
    </w:p>
    <w:p w:rsidR="00D07B83" w:rsidRDefault="003575A7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4209872</wp:posOffset>
                </wp:positionH>
                <wp:positionV relativeFrom="paragraph">
                  <wp:posOffset>305685</wp:posOffset>
                </wp:positionV>
                <wp:extent cx="274320" cy="6096"/>
                <wp:effectExtent l="0" t="0" r="0" b="0"/>
                <wp:wrapNone/>
                <wp:docPr id="4422" name="Group 4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6096"/>
                          <a:chOff x="0" y="0"/>
                          <a:chExt cx="274320" cy="6096"/>
                        </a:xfrm>
                      </wpg:grpSpPr>
                      <wps:wsp>
                        <wps:cNvPr id="5765" name="Shape 5765"/>
                        <wps:cNvSpPr/>
                        <wps:spPr>
                          <a:xfrm>
                            <a:off x="0" y="0"/>
                            <a:ext cx="274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9144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22" style="width:21.6pt;height:0.47998pt;position:absolute;z-index:22;mso-position-horizontal-relative:text;mso-position-horizontal:absolute;margin-left:331.486pt;mso-position-vertical-relative:text;margin-top:24.0697pt;" coordsize="2743,60">
                <v:shape id="Shape 5766" style="position:absolute;width:2743;height:91;left:0;top:0;" coordsize="274320,9144" path="m0,0l274320,0l2743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Art. 10.</w:t>
      </w:r>
      <w:r>
        <w:t xml:space="preserve"> A regularização das edificações pelo Programa "More Legal", previsto na Lei Co</w:t>
      </w:r>
      <w:r>
        <w:t>mplementar nº</w:t>
      </w:r>
      <w:hyperlink r:id="rId12">
        <w:r>
          <w:t xml:space="preserve"> </w:t>
        </w:r>
      </w:hyperlink>
      <w:hyperlink r:id="rId13">
        <w:r>
          <w:t>295</w:t>
        </w:r>
      </w:hyperlink>
      <w:hyperlink r:id="rId14">
        <w:r>
          <w:t>,</w:t>
        </w:r>
      </w:hyperlink>
      <w:r>
        <w:t xml:space="preserve"> de 08 de novem</w:t>
      </w:r>
      <w:r>
        <w:t xml:space="preserve">bro de 2000, deverá seguir os critérios aplicados nesta Lei Complementar.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b/>
        </w:rPr>
        <w:t>Art. 11.</w:t>
      </w:r>
      <w:r>
        <w:t xml:space="preserve"> </w:t>
      </w:r>
      <w:r>
        <w:t xml:space="preserve">Os pedidos de regularização de edificações com fundamento nesta Lei Complementar não isenta o proprietário do pagamento de tributos, preços públicos e outras obrigações legais incidentes sobre o imóvel.  </w:t>
      </w:r>
    </w:p>
    <w:p w:rsidR="00D07B83" w:rsidRDefault="003575A7">
      <w:pPr>
        <w:ind w:left="-5"/>
      </w:pPr>
      <w:r>
        <w:rPr>
          <w:b/>
        </w:rPr>
        <w:t>Art. 12.</w:t>
      </w:r>
      <w:r>
        <w:t xml:space="preserve"> Esta Lei Complementar não isenta o proprie</w:t>
      </w:r>
      <w:r>
        <w:t xml:space="preserve">tário do imóvel do pagamento de eventuais multas emitidas em razão de irregularidades constatadas na edificação.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ind w:left="-5"/>
      </w:pPr>
      <w:r>
        <w:rPr>
          <w:b/>
        </w:rPr>
        <w:t>Art. 13.</w:t>
      </w:r>
      <w:r>
        <w:t xml:space="preserve"> Ficam isentas da Compensação Urbanística: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8"/>
        </w:numPr>
        <w:ind w:hanging="288"/>
      </w:pPr>
      <w:r>
        <w:t xml:space="preserve">- as Edificações de Interesse Cultural;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numPr>
          <w:ilvl w:val="0"/>
          <w:numId w:val="8"/>
        </w:numPr>
        <w:ind w:hanging="288"/>
      </w:pPr>
      <w:r>
        <w:t>- o proprietário de imóvel que comprove sua</w:t>
      </w:r>
      <w:r>
        <w:t xml:space="preserve"> incapacidade financeira, atestado pelo órgão municipal responsável, através de parecer socioeconômico.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p w:rsidR="00D07B83" w:rsidRDefault="003575A7">
      <w:pPr>
        <w:spacing w:after="0" w:line="259" w:lineRule="auto"/>
        <w:ind w:left="0" w:firstLine="0"/>
        <w:jc w:val="left"/>
      </w:pPr>
      <w:r>
        <w:t xml:space="preserve"> </w:t>
      </w:r>
    </w:p>
    <w:sectPr w:rsidR="00D07B83">
      <w:pgSz w:w="11906" w:h="16838"/>
      <w:pgMar w:top="1475" w:right="1697" w:bottom="1548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159E"/>
    <w:multiLevelType w:val="hybridMultilevel"/>
    <w:tmpl w:val="258858DE"/>
    <w:lvl w:ilvl="0" w:tplc="D5E671F8">
      <w:start w:val="1"/>
      <w:numFmt w:val="lowerLetter"/>
      <w:lvlText w:val="%1)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04E9B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C0AC9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A00CB8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92B746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7000F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3ECE56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5E597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061B3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6E1915"/>
    <w:multiLevelType w:val="hybridMultilevel"/>
    <w:tmpl w:val="CC62687C"/>
    <w:lvl w:ilvl="0" w:tplc="BAEC7DF4">
      <w:start w:val="1"/>
      <w:numFmt w:val="upperRoman"/>
      <w:lvlText w:val="%1"/>
      <w:lvlJc w:val="left"/>
      <w:pPr>
        <w:ind w:left="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6AF0E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4ECA22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BE511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106C7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2CA66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AAC47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E6556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84896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172AA5"/>
    <w:multiLevelType w:val="hybridMultilevel"/>
    <w:tmpl w:val="8D464182"/>
    <w:lvl w:ilvl="0" w:tplc="86D074A0">
      <w:start w:val="2"/>
      <w:numFmt w:val="upperRoman"/>
      <w:lvlText w:val="%1"/>
      <w:lvlJc w:val="left"/>
      <w:pPr>
        <w:ind w:left="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1AE23A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740F20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3ADD1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96EF7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7CDFF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9414F6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C2CFC6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BE7A9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9A0CB3"/>
    <w:multiLevelType w:val="hybridMultilevel"/>
    <w:tmpl w:val="D70EB676"/>
    <w:lvl w:ilvl="0" w:tplc="688C2D92">
      <w:start w:val="1"/>
      <w:numFmt w:val="decimal"/>
      <w:lvlText w:val="%1."/>
      <w:lvlJc w:val="left"/>
      <w:pPr>
        <w:ind w:left="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9C4E3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BC7F8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0ACDB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38FEE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D4C436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EE3EE2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D8BC2A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0A4068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986EF9"/>
    <w:multiLevelType w:val="hybridMultilevel"/>
    <w:tmpl w:val="06761C26"/>
    <w:lvl w:ilvl="0" w:tplc="28245238">
      <w:start w:val="11"/>
      <w:numFmt w:val="upperRoman"/>
      <w:lvlText w:val="%1"/>
      <w:lvlJc w:val="left"/>
      <w:pPr>
        <w:ind w:left="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52A192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20BF8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D4F17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68805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9E7DC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8D28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12A86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A47FE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E26106"/>
    <w:multiLevelType w:val="hybridMultilevel"/>
    <w:tmpl w:val="D7464EF6"/>
    <w:lvl w:ilvl="0" w:tplc="ACEAF97C">
      <w:start w:val="1"/>
      <w:numFmt w:val="upperRoman"/>
      <w:lvlText w:val="%1"/>
      <w:lvlJc w:val="left"/>
      <w:pPr>
        <w:ind w:left="5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9410A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A4E2D8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5CCF1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46C92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0A217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76A3F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6C413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B2353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941C3D"/>
    <w:multiLevelType w:val="hybridMultilevel"/>
    <w:tmpl w:val="EC4CC8FC"/>
    <w:lvl w:ilvl="0" w:tplc="26946696">
      <w:start w:val="1"/>
      <w:numFmt w:val="upperRoman"/>
      <w:lvlText w:val="%1"/>
      <w:lvlJc w:val="left"/>
      <w:pPr>
        <w:ind w:left="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4D2B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38DCF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743B9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EF6BA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60A05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837C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FA0F30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B85A8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E2714C"/>
    <w:multiLevelType w:val="hybridMultilevel"/>
    <w:tmpl w:val="961086AC"/>
    <w:lvl w:ilvl="0" w:tplc="EB5E240E">
      <w:start w:val="1"/>
      <w:numFmt w:val="lowerLetter"/>
      <w:lvlText w:val="%1)"/>
      <w:lvlJc w:val="left"/>
      <w:pPr>
        <w:ind w:left="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B0913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F0C608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AE457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4C698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8A6B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709C7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C2C4E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42FF8C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8017397">
    <w:abstractNumId w:val="0"/>
  </w:num>
  <w:num w:numId="2" w16cid:durableId="714431797">
    <w:abstractNumId w:val="2"/>
  </w:num>
  <w:num w:numId="3" w16cid:durableId="2033191705">
    <w:abstractNumId w:val="5"/>
  </w:num>
  <w:num w:numId="4" w16cid:durableId="1705329752">
    <w:abstractNumId w:val="4"/>
  </w:num>
  <w:num w:numId="5" w16cid:durableId="1693338740">
    <w:abstractNumId w:val="7"/>
  </w:num>
  <w:num w:numId="6" w16cid:durableId="563368242">
    <w:abstractNumId w:val="3"/>
  </w:num>
  <w:num w:numId="7" w16cid:durableId="102962078">
    <w:abstractNumId w:val="6"/>
  </w:num>
  <w:num w:numId="8" w16cid:durableId="142895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B83"/>
    <w:rsid w:val="003575A7"/>
    <w:rsid w:val="00D0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49" w:lineRule="auto"/>
      <w:ind w:left="10" w:hanging="10"/>
      <w:jc w:val="both"/>
    </w:pPr>
    <w:rPr>
      <w:rFonts w:ascii="Courier New" w:eastAsia="Courier New" w:hAnsi="Courier New" w:cs="Courier New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hanging="10"/>
      <w:jc w:val="center"/>
      <w:outlineLvl w:val="0"/>
    </w:pPr>
    <w:rPr>
      <w:rFonts w:ascii="Courier New" w:eastAsia="Courier New" w:hAnsi="Courier New" w:cs="Courier New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ourier New" w:eastAsia="Courier New" w:hAnsi="Courier New" w:cs="Courier New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ismunicipais.com.br/lei-organica-blumenau-sc" TargetMode="External"/><Relationship Id="rId13" Type="http://schemas.openxmlformats.org/officeDocument/2006/relationships/hyperlink" Target="https://leismunicipais.com.br/a/sc/b/blumenau/lei-complementar/2000/29/295/lei-complementar-n-295-2000-institui-o-projeto-more-legal-no-ambito-do-municipio-de-blumenau-e-da-outras-providenci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ismunicipais.com.br/a/sc/b/blumenau/lei-complementar/2015/102/1024/lei-complementar-n-1024-2015-estabelece-criterios-para-a-regularizacao-de-edificacoes-cujos-impactos-ja-estejam-consolidados" TargetMode="External"/><Relationship Id="rId12" Type="http://schemas.openxmlformats.org/officeDocument/2006/relationships/hyperlink" Target="https://leismunicipais.com.br/a/sc/b/blumenau/lei-complementar/2000/29/295/lei-complementar-n-295-2000-institui-o-projeto-more-legal-no-ambito-do-municipio-de-blumenau-e-da-outras-providencia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ismunicipais.com.br/a/sc/b/blumenau/lei-complementar/2015/102/1024/lei-complementar-n-1024-2015-estabelece-criterios-para-a-regularizacao-de-edificacoes-cujos-impactos-ja-estejam-consolidados" TargetMode="External"/><Relationship Id="rId11" Type="http://schemas.openxmlformats.org/officeDocument/2006/relationships/hyperlink" Target="https://leismunicipais.com.br/lei-organica-blumenau-sc" TargetMode="External"/><Relationship Id="rId5" Type="http://schemas.openxmlformats.org/officeDocument/2006/relationships/hyperlink" Target="https://leismunicipais.com.br/a/sc/b/blumenau/lei-complementar/2015/102/1024/lei-complementar-n-1024-2015-estabelece-criterios-para-a-regularizacao-de-edificacoes-cujos-impactos-ja-estejam-consolidado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eismunicipais.com.br/lei-organica-blumenau-s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ismunicipais.com.br/lei-organica-blumenau-sc" TargetMode="External"/><Relationship Id="rId14" Type="http://schemas.openxmlformats.org/officeDocument/2006/relationships/hyperlink" Target="https://leismunicipais.com.br/a/sc/b/blumenau/lei-complementar/2000/29/295/lei-complementar-n-295-2000-institui-o-projeto-more-legal-no-ambito-do-municipio-de-blumenau-e-da-outras-providencia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1388</Words>
  <Characters>7500</Characters>
  <Application>Microsoft Office Word</Application>
  <DocSecurity>4</DocSecurity>
  <Lines>62</Lines>
  <Paragraphs>17</Paragraphs>
  <ScaleCrop>false</ScaleCrop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Andréia Lina Maul Rauch</dc:creator>
  <cp:keywords/>
  <cp:lastModifiedBy>FAST PREV</cp:lastModifiedBy>
  <cp:revision>2</cp:revision>
  <dcterms:created xsi:type="dcterms:W3CDTF">2026-08-19T18:31:00Z</dcterms:created>
  <dcterms:modified xsi:type="dcterms:W3CDTF">2026-08-19T18:31:00Z</dcterms:modified>
</cp:coreProperties>
</file>