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6EA7" w:rsidRDefault="0041159A">
      <w:pPr>
        <w:spacing w:after="0" w:line="261" w:lineRule="auto"/>
        <w:ind w:left="247" w:hanging="1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-228599</wp:posOffset>
            </wp:positionH>
            <wp:positionV relativeFrom="paragraph">
              <wp:posOffset>-95970</wp:posOffset>
            </wp:positionV>
            <wp:extent cx="932688" cy="644375"/>
            <wp:effectExtent l="0" t="0" r="0" b="0"/>
            <wp:wrapSquare wrapText="bothSides"/>
            <wp:docPr id="8782" name="Picture 8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" name="Picture 87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64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MUNICÍPIO DE CRICIÚMA</w:t>
      </w:r>
    </w:p>
    <w:p w:rsidR="00E16EA7" w:rsidRDefault="0041159A">
      <w:pPr>
        <w:pStyle w:val="Ttulo1"/>
        <w:spacing w:after="0"/>
        <w:ind w:left="10"/>
        <w:jc w:val="left"/>
      </w:pPr>
      <w:r>
        <w:rPr>
          <w:sz w:val="30"/>
        </w:rPr>
        <w:t>Poder Executivo</w:t>
      </w:r>
    </w:p>
    <w:p w:rsidR="00E16EA7" w:rsidRDefault="0041159A">
      <w:pPr>
        <w:spacing w:after="0" w:line="261" w:lineRule="auto"/>
        <w:ind w:left="247" w:hanging="10"/>
        <w:jc w:val="left"/>
      </w:pPr>
      <w:r>
        <w:rPr>
          <w:sz w:val="28"/>
        </w:rPr>
        <w:t>Secretaria-Geral I Apoio Administrativo</w:t>
      </w:r>
    </w:p>
    <w:p w:rsidR="00E16EA7" w:rsidRDefault="0041159A">
      <w:pPr>
        <w:spacing w:after="328" w:line="261" w:lineRule="auto"/>
        <w:ind w:left="247" w:hanging="10"/>
        <w:jc w:val="left"/>
      </w:pPr>
      <w:r>
        <w:rPr>
          <w:sz w:val="28"/>
        </w:rPr>
        <w:t>LEI N</w:t>
      </w:r>
      <w:r>
        <w:rPr>
          <w:sz w:val="28"/>
          <w:vertAlign w:val="superscript"/>
        </w:rPr>
        <w:t xml:space="preserve">O </w:t>
      </w:r>
      <w:r>
        <w:rPr>
          <w:sz w:val="28"/>
        </w:rPr>
        <w:t>7.997, de 24 de novembro de 2021.</w:t>
      </w:r>
    </w:p>
    <w:p w:rsidR="00E16EA7" w:rsidRDefault="0041159A">
      <w:pPr>
        <w:spacing w:after="467" w:line="216" w:lineRule="auto"/>
        <w:ind w:left="3636" w:firstLine="7"/>
        <w:jc w:val="left"/>
      </w:pPr>
      <w:r>
        <w:rPr>
          <w:rFonts w:ascii="Times New Roman" w:eastAsia="Times New Roman" w:hAnsi="Times New Roman" w:cs="Times New Roman"/>
        </w:rPr>
        <w:t>Dispõe sobre o Programa de Regularização Predial no município de Criciúma e dá outras providências.</w:t>
      </w:r>
    </w:p>
    <w:p w:rsidR="00E16EA7" w:rsidRDefault="0041159A">
      <w:pPr>
        <w:spacing w:after="0" w:line="259" w:lineRule="auto"/>
        <w:ind w:left="1392" w:hanging="10"/>
        <w:jc w:val="left"/>
      </w:pPr>
      <w:r>
        <w:rPr>
          <w:sz w:val="26"/>
        </w:rPr>
        <w:t>O PREFEITO DO MUNICíPlO DE CRICIÚMA,</w:t>
      </w:r>
    </w:p>
    <w:p w:rsidR="00E16EA7" w:rsidRDefault="0041159A">
      <w:pPr>
        <w:spacing w:after="435"/>
        <w:ind w:left="259"/>
      </w:pPr>
      <w:r>
        <w:t>Faço saber a todos os habitantes deste Município, que a Câmara Municipal aprovou e eu sanciono a presente Lei:</w:t>
      </w:r>
    </w:p>
    <w:p w:rsidR="00E16EA7" w:rsidRDefault="0041159A">
      <w:pPr>
        <w:spacing w:after="180"/>
        <w:ind w:left="259" w:right="187"/>
      </w:pPr>
      <w:r>
        <w:t xml:space="preserve">Art.1 </w:t>
      </w:r>
      <w:r>
        <w:rPr>
          <w:vertAlign w:val="superscript"/>
        </w:rPr>
        <w:t xml:space="preserve">0 </w:t>
      </w:r>
      <w:r>
        <w:t>É instituído o programa de regularização predial, que tem como objetivo a regularização administrativa das construções com atividades comerciais, industriais, residenciais unifamiliares/multifamiliares e mistas já instaladas e edificadas.</w:t>
      </w:r>
    </w:p>
    <w:p w:rsidR="00E16EA7" w:rsidRDefault="0041159A">
      <w:pPr>
        <w:spacing w:after="0" w:line="259" w:lineRule="auto"/>
        <w:ind w:left="233" w:right="151" w:hanging="10"/>
        <w:jc w:val="center"/>
      </w:pPr>
      <w:r>
        <w:rPr>
          <w:sz w:val="26"/>
        </w:rPr>
        <w:t>Capítulo II</w:t>
      </w:r>
    </w:p>
    <w:p w:rsidR="00E16EA7" w:rsidRDefault="0041159A">
      <w:pPr>
        <w:pStyle w:val="Ttulo1"/>
        <w:ind w:left="240" w:right="137"/>
      </w:pPr>
      <w:r>
        <w:t>DAS C</w:t>
      </w:r>
      <w:r>
        <w:t>ONDIÇÕES PARA REGULARIZAÇÃO</w:t>
      </w:r>
    </w:p>
    <w:p w:rsidR="00E16EA7" w:rsidRDefault="0041159A">
      <w:pPr>
        <w:spacing w:after="208"/>
        <w:ind w:left="259"/>
      </w:pPr>
      <w:r>
        <w:t>Art.2</w:t>
      </w:r>
      <w:r>
        <w:rPr>
          <w:vertAlign w:val="superscript"/>
        </w:rPr>
        <w:t xml:space="preserve">0 </w:t>
      </w:r>
      <w:r>
        <w:t>Estão aptas à regularização administrativa as edificações que atendam aos seguintes parâmetros:</w:t>
      </w:r>
    </w:p>
    <w:p w:rsidR="00E16EA7" w:rsidRDefault="0041159A">
      <w:pPr>
        <w:numPr>
          <w:ilvl w:val="0"/>
          <w:numId w:val="1"/>
        </w:numPr>
        <w:spacing w:after="0"/>
      </w:pPr>
      <w:r>
        <w:t xml:space="preserve">- que possuam área construída registrada no cadastro imobiliário do Município de Criciúma, ou que apresentem provas de que a </w:t>
      </w:r>
      <w:r>
        <w:t xml:space="preserve">construção foi realizada antes de 1 </w:t>
      </w:r>
      <w:r>
        <w:rPr>
          <w:vertAlign w:val="superscript"/>
        </w:rPr>
        <w:t xml:space="preserve">0 </w:t>
      </w:r>
      <w:r>
        <w:t>de janeiro de 2017;</w:t>
      </w:r>
    </w:p>
    <w:p w:rsidR="00E16EA7" w:rsidRDefault="0041159A">
      <w:pPr>
        <w:numPr>
          <w:ilvl w:val="0"/>
          <w:numId w:val="1"/>
        </w:numPr>
      </w:pPr>
      <w:r>
        <w:t>- que estejam matriculados no Registro de Imóveis;</w:t>
      </w:r>
    </w:p>
    <w:p w:rsidR="00E16EA7" w:rsidRDefault="0041159A">
      <w:pPr>
        <w:numPr>
          <w:ilvl w:val="0"/>
          <w:numId w:val="1"/>
        </w:numPr>
        <w:spacing w:after="0" w:line="259" w:lineRule="auto"/>
      </w:pPr>
      <w:r>
        <w:rPr>
          <w:sz w:val="26"/>
        </w:rPr>
        <w:t>que não possuam dívida ativa de Imposto sobre a Propriedade Predial e Territorial Urbana (IPTU);</w:t>
      </w:r>
    </w:p>
    <w:p w:rsidR="00E16EA7" w:rsidRDefault="0041159A">
      <w:pPr>
        <w:numPr>
          <w:ilvl w:val="0"/>
          <w:numId w:val="1"/>
        </w:numPr>
        <w:spacing w:after="163"/>
      </w:pPr>
      <w:r>
        <w:t>- que possuam laudo técnico do Corpo de Bombeiros referente ao imóvel a ser regularizado, comprovando a segurança do local.</w:t>
      </w:r>
    </w:p>
    <w:p w:rsidR="00E16EA7" w:rsidRDefault="0041159A">
      <w:pPr>
        <w:spacing w:after="193"/>
        <w:ind w:left="259"/>
      </w:pPr>
      <w:r>
        <w:t>Art.3</w:t>
      </w:r>
      <w:r>
        <w:rPr>
          <w:vertAlign w:val="superscript"/>
        </w:rPr>
        <w:t xml:space="preserve">0 </w:t>
      </w:r>
      <w:r>
        <w:t>A regularização dar-se-á ate</w:t>
      </w:r>
      <w:r>
        <w:t>ndido o estabelecido no artigo 2</w:t>
      </w:r>
      <w:r>
        <w:rPr>
          <w:vertAlign w:val="superscript"/>
        </w:rPr>
        <w:t xml:space="preserve">0 </w:t>
      </w:r>
      <w:r>
        <w:t>da presente Lei e mediante os seguintes documentos:</w:t>
      </w:r>
    </w:p>
    <w:p w:rsidR="00E16EA7" w:rsidRDefault="0041159A">
      <w:pPr>
        <w:numPr>
          <w:ilvl w:val="0"/>
          <w:numId w:val="2"/>
        </w:numPr>
      </w:pPr>
      <w:r>
        <w:t>- formulário padrão fornecido pelo Município;</w:t>
      </w:r>
    </w:p>
    <w:p w:rsidR="00E16EA7" w:rsidRDefault="0041159A">
      <w:pPr>
        <w:numPr>
          <w:ilvl w:val="0"/>
          <w:numId w:val="2"/>
        </w:numPr>
      </w:pPr>
      <w:r>
        <w:t>- registro de matrícula atualizada do imóvel;</w:t>
      </w:r>
    </w:p>
    <w:p w:rsidR="00E16EA7" w:rsidRDefault="0041159A">
      <w:pPr>
        <w:numPr>
          <w:ilvl w:val="0"/>
          <w:numId w:val="2"/>
        </w:numPr>
        <w:spacing w:after="0"/>
      </w:pPr>
      <w:r>
        <w:t>- Anotação ou Registro de Responsabilidade Técnica (ART) ou Registro de Respon</w:t>
      </w:r>
      <w:r>
        <w:t>sabilidade Técnica (RRT) com código referente ao laudo técnico e regularização assinada por profissional técnico habilitado para a área a ser regularizada constando em anexo plantas-baixas, projeto de acessibilidade da calçada de acordo com as Normas Técni</w:t>
      </w:r>
      <w:r>
        <w:t>cas, planta de locação e atestado do Corpo de Bombeiros declarando própria para uso no atendimento ao público;</w:t>
      </w:r>
    </w:p>
    <w:p w:rsidR="00E16EA7" w:rsidRDefault="0041159A">
      <w:pPr>
        <w:numPr>
          <w:ilvl w:val="0"/>
          <w:numId w:val="2"/>
        </w:numPr>
        <w:spacing w:after="130"/>
      </w:pPr>
      <w:r>
        <w:t>- Laudo Técnico de vistoria, assinado por profissional técnico habilitado contendo a área da a ser regularizada.</w:t>
      </w:r>
    </w:p>
    <w:p w:rsidR="00E16EA7" w:rsidRDefault="0041159A">
      <w:pPr>
        <w:spacing w:after="0" w:line="259" w:lineRule="auto"/>
        <w:ind w:left="233" w:hanging="10"/>
        <w:jc w:val="center"/>
      </w:pPr>
      <w:r>
        <w:rPr>
          <w:sz w:val="26"/>
        </w:rPr>
        <w:t>Capítulo III</w:t>
      </w:r>
    </w:p>
    <w:p w:rsidR="00E16EA7" w:rsidRDefault="0041159A">
      <w:pPr>
        <w:pStyle w:val="Ttulo1"/>
        <w:ind w:left="240"/>
      </w:pPr>
      <w:r>
        <w:lastRenderedPageBreak/>
        <w:t>DOS VALORES</w:t>
      </w:r>
    </w:p>
    <w:p w:rsidR="00E16EA7" w:rsidRDefault="0041159A">
      <w:pPr>
        <w:spacing w:after="222"/>
        <w:ind w:left="353" w:firstLine="554"/>
      </w:pPr>
      <w:r>
        <w:t>Art.4</w:t>
      </w:r>
      <w:r>
        <w:rPr>
          <w:vertAlign w:val="superscript"/>
        </w:rPr>
        <w:t xml:space="preserve">0 </w:t>
      </w:r>
      <w:r>
        <w:t>Para fins da regularização de que trata a presente Lei, os proprietários pagarão ao Município, pelo total de metros quadrados de área construída a ser regularizada, os valores resultantes da aplicação da seguinte fórmula:</w:t>
      </w:r>
    </w:p>
    <w:p w:rsidR="00E16EA7" w:rsidRDefault="0041159A">
      <w:pPr>
        <w:numPr>
          <w:ilvl w:val="0"/>
          <w:numId w:val="3"/>
        </w:numPr>
        <w:ind w:hanging="252"/>
      </w:pPr>
      <w:r>
        <w:t>até 80m</w:t>
      </w:r>
      <w:r>
        <w:rPr>
          <w:vertAlign w:val="superscript"/>
        </w:rPr>
        <w:t xml:space="preserve">2 </w:t>
      </w:r>
      <w:r>
        <w:t>de área regularizada — 2,</w:t>
      </w:r>
      <w:r>
        <w:t>5 UFM;</w:t>
      </w:r>
    </w:p>
    <w:p w:rsidR="00E16EA7" w:rsidRDefault="0041159A">
      <w:pPr>
        <w:numPr>
          <w:ilvl w:val="0"/>
          <w:numId w:val="3"/>
        </w:numPr>
        <w:ind w:hanging="252"/>
      </w:pPr>
      <w:r>
        <w:t>acima de 80m</w:t>
      </w:r>
      <w:r>
        <w:rPr>
          <w:vertAlign w:val="superscript"/>
        </w:rPr>
        <w:t xml:space="preserve">2 </w:t>
      </w:r>
      <w:r>
        <w:t>até 120m</w:t>
      </w:r>
      <w:r>
        <w:rPr>
          <w:vertAlign w:val="superscript"/>
        </w:rPr>
        <w:t xml:space="preserve">2 </w:t>
      </w:r>
      <w:r>
        <w:t>de área regularizada — 5,0 UFM;</w:t>
      </w:r>
    </w:p>
    <w:p w:rsidR="00E16EA7" w:rsidRDefault="0041159A">
      <w:pPr>
        <w:numPr>
          <w:ilvl w:val="0"/>
          <w:numId w:val="3"/>
        </w:numPr>
        <w:ind w:hanging="252"/>
      </w:pPr>
      <w:r>
        <w:t>acima de 120m</w:t>
      </w:r>
      <w:r>
        <w:rPr>
          <w:vertAlign w:val="superscript"/>
        </w:rPr>
        <w:t xml:space="preserve">2 </w:t>
      </w:r>
      <w:r>
        <w:t>até 200m</w:t>
      </w:r>
      <w:r>
        <w:rPr>
          <w:vertAlign w:val="superscript"/>
        </w:rPr>
        <w:t xml:space="preserve">2 </w:t>
      </w:r>
      <w:r>
        <w:t>de área regularizada — 10,0 UFM;</w:t>
      </w:r>
    </w:p>
    <w:p w:rsidR="00E16EA7" w:rsidRDefault="0041159A">
      <w:pPr>
        <w:numPr>
          <w:ilvl w:val="0"/>
          <w:numId w:val="3"/>
        </w:numPr>
        <w:spacing w:after="0" w:line="259" w:lineRule="auto"/>
        <w:ind w:hanging="252"/>
      </w:pPr>
      <w:r>
        <w:rPr>
          <w:sz w:val="26"/>
        </w:rPr>
        <w:t>acima de 200m</w:t>
      </w:r>
      <w:r>
        <w:rPr>
          <w:sz w:val="26"/>
          <w:vertAlign w:val="superscript"/>
        </w:rPr>
        <w:t xml:space="preserve">2 </w:t>
      </w:r>
      <w:r>
        <w:rPr>
          <w:sz w:val="26"/>
        </w:rPr>
        <w:t>até 300m</w:t>
      </w:r>
      <w:r>
        <w:rPr>
          <w:sz w:val="26"/>
          <w:vertAlign w:val="superscript"/>
        </w:rPr>
        <w:t xml:space="preserve">2 </w:t>
      </w:r>
      <w:r>
        <w:rPr>
          <w:sz w:val="26"/>
        </w:rPr>
        <w:t>de área regularizada — 20,0 UFM;</w:t>
      </w:r>
    </w:p>
    <w:p w:rsidR="00E16EA7" w:rsidRDefault="0041159A">
      <w:pPr>
        <w:numPr>
          <w:ilvl w:val="0"/>
          <w:numId w:val="3"/>
        </w:numPr>
        <w:ind w:hanging="252"/>
      </w:pPr>
      <w:r>
        <w:t>acima de 300m</w:t>
      </w:r>
      <w:r>
        <w:rPr>
          <w:vertAlign w:val="superscript"/>
        </w:rPr>
        <w:t xml:space="preserve">2 </w:t>
      </w:r>
      <w:r>
        <w:t>de área regularizada — 30,0 UFM.</w:t>
      </w:r>
    </w:p>
    <w:p w:rsidR="00E16EA7" w:rsidRDefault="0041159A">
      <w:pPr>
        <w:spacing w:after="0" w:line="261" w:lineRule="auto"/>
        <w:ind w:left="247" w:hanging="1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-233171</wp:posOffset>
            </wp:positionH>
            <wp:positionV relativeFrom="paragraph">
              <wp:posOffset>-86830</wp:posOffset>
            </wp:positionV>
            <wp:extent cx="928116" cy="639804"/>
            <wp:effectExtent l="0" t="0" r="0" b="0"/>
            <wp:wrapSquare wrapText="bothSides"/>
            <wp:docPr id="8784" name="Picture 8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" name="Picture 87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8116" cy="639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MUNICíPlO DE CRICIÚMA</w:t>
      </w:r>
    </w:p>
    <w:p w:rsidR="00E16EA7" w:rsidRDefault="0041159A">
      <w:pPr>
        <w:pStyle w:val="Ttulo2"/>
        <w:ind w:left="10"/>
      </w:pPr>
      <w:r>
        <w:t>Poder Executivo</w:t>
      </w:r>
    </w:p>
    <w:p w:rsidR="00E16EA7" w:rsidRDefault="0041159A">
      <w:pPr>
        <w:spacing w:after="0" w:line="261" w:lineRule="auto"/>
        <w:ind w:left="247" w:hanging="10"/>
        <w:jc w:val="left"/>
      </w:pPr>
      <w:r>
        <w:rPr>
          <w:sz w:val="28"/>
        </w:rPr>
        <w:t>Secretaria-Geral I Apoio Administrativo</w:t>
      </w:r>
    </w:p>
    <w:p w:rsidR="00E16EA7" w:rsidRDefault="0041159A">
      <w:pPr>
        <w:spacing w:after="0" w:line="259" w:lineRule="auto"/>
        <w:ind w:left="233" w:right="180" w:hanging="10"/>
        <w:jc w:val="center"/>
      </w:pPr>
      <w:r>
        <w:rPr>
          <w:sz w:val="26"/>
        </w:rPr>
        <w:t>Capítulo IV</w:t>
      </w:r>
    </w:p>
    <w:p w:rsidR="00E16EA7" w:rsidRDefault="0041159A">
      <w:pPr>
        <w:pStyle w:val="Ttulo1"/>
        <w:spacing w:after="116"/>
        <w:ind w:left="36" w:firstLine="0"/>
      </w:pPr>
      <w:r>
        <w:rPr>
          <w:sz w:val="30"/>
        </w:rPr>
        <w:t>DAS DISPOSIÇÕES FINAIS</w:t>
      </w:r>
    </w:p>
    <w:p w:rsidR="00E16EA7" w:rsidRDefault="0041159A">
      <w:pPr>
        <w:spacing w:after="172"/>
        <w:ind w:left="259"/>
      </w:pPr>
      <w:r>
        <w:t>Art.5</w:t>
      </w:r>
      <w:r>
        <w:rPr>
          <w:vertAlign w:val="superscript"/>
        </w:rPr>
        <w:t xml:space="preserve">0 </w:t>
      </w:r>
      <w:r>
        <w:t>Cabe à Secretaria Municipal de Infraestrutura, Planejamento e Mobilidade Urbana a regulamentação, estruturação e a fiscalização desta Lei.</w:t>
      </w:r>
    </w:p>
    <w:p w:rsidR="00E16EA7" w:rsidRDefault="0041159A">
      <w:pPr>
        <w:spacing w:after="234"/>
        <w:ind w:left="259" w:right="180"/>
      </w:pPr>
      <w:r>
        <w:t>Art.6</w:t>
      </w:r>
      <w:r>
        <w:rPr>
          <w:vertAlign w:val="superscript"/>
        </w:rPr>
        <w:t xml:space="preserve">0 </w:t>
      </w:r>
      <w:r>
        <w:t>As demandas judiciais promovidas pelo Município visando à demolição, paralisação ou interdição de construção i</w:t>
      </w:r>
      <w:r>
        <w:t>rregular ou clandestina, que tenham sido regularizadas com base nesta Lei Complementar, serão extintas, devendo o proprietário ou responsável pela obra promover antecipadamente o pagamento das custas judiciais e honorários advocatícios.</w:t>
      </w:r>
    </w:p>
    <w:p w:rsidR="00E16EA7" w:rsidRDefault="0041159A">
      <w:pPr>
        <w:spacing w:after="195"/>
        <w:ind w:left="259" w:right="180"/>
      </w:pPr>
      <w:r>
        <w:t>Art.7</w:t>
      </w:r>
      <w:r>
        <w:rPr>
          <w:vertAlign w:val="superscript"/>
        </w:rPr>
        <w:t xml:space="preserve">0 </w:t>
      </w:r>
      <w:r>
        <w:t>A regulariza</w:t>
      </w:r>
      <w:r>
        <w:t>ção da edificação não dispensa o interessado do cumprimento das demais exigências previstas em Lei para a utilização do imóvel para fins residenciais multifamiliares, comerciais e industriais.</w:t>
      </w:r>
    </w:p>
    <w:p w:rsidR="00E16EA7" w:rsidRDefault="0041159A">
      <w:pPr>
        <w:spacing w:after="201"/>
        <w:ind w:left="259" w:right="158"/>
      </w:pPr>
      <w:r>
        <w:t>Art.8</w:t>
      </w:r>
      <w:r>
        <w:rPr>
          <w:vertAlign w:val="superscript"/>
        </w:rPr>
        <w:t xml:space="preserve">0 </w:t>
      </w:r>
      <w:r>
        <w:t>0 Poder Público, por meio da Secretaria de Infraestrutur</w:t>
      </w:r>
      <w:r>
        <w:t>a, Planejamento e Mobilidade Urbana, poderá negar a legalização de qualquer obra ou construção indevidamente executada, sempre que esta, em função das transgressões, afete o conjunto urbanístico local, não apresente condições mínimas de habitabilidade, uso</w:t>
      </w:r>
      <w:r>
        <w:t>, segurança, higiene, estética, bem como afete as condições de trânsito, transporte, estacionamento e outros serviços públicos.</w:t>
      </w:r>
    </w:p>
    <w:p w:rsidR="00E16EA7" w:rsidRDefault="0041159A">
      <w:pPr>
        <w:spacing w:after="226"/>
        <w:ind w:left="259" w:right="151"/>
      </w:pPr>
      <w:r>
        <w:t xml:space="preserve">Parágrafo único. Poderá ser regularizada parcialmente uma obra, de acordo com a necessidade do proprietário ou por determinação </w:t>
      </w:r>
      <w:r>
        <w:t>do órgão de planejamento, dependendo da condição urbanística do entorno.</w:t>
      </w:r>
    </w:p>
    <w:p w:rsidR="00E16EA7" w:rsidRDefault="0041159A">
      <w:pPr>
        <w:spacing w:after="228"/>
        <w:ind w:left="259"/>
      </w:pPr>
      <w:r>
        <w:t>Art.9</w:t>
      </w:r>
      <w:r>
        <w:rPr>
          <w:vertAlign w:val="superscript"/>
        </w:rPr>
        <w:t xml:space="preserve">0 </w:t>
      </w:r>
      <w:r>
        <w:t>Aplica-se à presente lei, sempre que houver obscuridade, contrariedade ou omissão outros dispositivos legais, no período de vigência desta.</w:t>
      </w:r>
    </w:p>
    <w:p w:rsidR="00E16EA7" w:rsidRDefault="0041159A">
      <w:pPr>
        <w:spacing w:after="197"/>
        <w:ind w:left="259"/>
      </w:pPr>
      <w:r>
        <w:t>Art.10. Esta Lei entra em vigor na d</w:t>
      </w:r>
      <w:r>
        <w:t>ata de sua publicação, com vigência até 31 de dezembro de 2024.</w:t>
      </w:r>
    </w:p>
    <w:p w:rsidR="00E16EA7" w:rsidRDefault="0041159A">
      <w:pPr>
        <w:spacing w:after="165" w:line="259" w:lineRule="auto"/>
        <w:ind w:left="1450" w:hanging="10"/>
        <w:jc w:val="left"/>
      </w:pPr>
      <w:r>
        <w:rPr>
          <w:sz w:val="26"/>
        </w:rPr>
        <w:t>Art. 11. Revogam-se as disposições em contrário.</w:t>
      </w:r>
    </w:p>
    <w:p w:rsidR="00E16EA7" w:rsidRDefault="0041159A">
      <w:pPr>
        <w:spacing w:after="1142"/>
        <w:ind w:left="1454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1783080</wp:posOffset>
                </wp:positionH>
                <wp:positionV relativeFrom="paragraph">
                  <wp:posOffset>-8843</wp:posOffset>
                </wp:positionV>
                <wp:extent cx="2226564" cy="2769440"/>
                <wp:effectExtent l="0" t="0" r="0" b="0"/>
                <wp:wrapSquare wrapText="bothSides"/>
                <wp:docPr id="8214" name="Group 8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6564" cy="2769440"/>
                          <a:chOff x="0" y="0"/>
                          <a:chExt cx="2226564" cy="2769440"/>
                        </a:xfrm>
                      </wpg:grpSpPr>
                      <pic:pic xmlns:pic="http://schemas.openxmlformats.org/drawingml/2006/picture">
                        <pic:nvPicPr>
                          <pic:cNvPr id="8786" name="Picture 87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5468" y="4570"/>
                            <a:ext cx="1568196" cy="2764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2" name="Rectangle 3202"/>
                        <wps:cNvSpPr/>
                        <wps:spPr>
                          <a:xfrm>
                            <a:off x="1421892" y="1636072"/>
                            <a:ext cx="1070214" cy="188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6EA7" w:rsidRDefault="0041159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RODRIGUES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8" name="Rectangle 3198"/>
                        <wps:cNvSpPr/>
                        <wps:spPr>
                          <a:xfrm>
                            <a:off x="0" y="1640642"/>
                            <a:ext cx="848675" cy="194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6EA7" w:rsidRDefault="0041159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VAGNER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214" style="width:175.32pt;height:218.066pt;position:absolute;mso-position-horizontal-relative:text;mso-position-horizontal:absolute;margin-left:140.4pt;mso-position-vertical-relative:text;margin-top:-0.696411pt;" coordsize="22265,27694">
                <v:shape id="Picture 8786" style="position:absolute;width:15681;height:27648;left:3154;top:45;" filled="f">
                  <v:imagedata r:id="rId8"/>
                </v:shape>
                <v:rect id="Rectangle 3202" style="position:absolute;width:10702;height:1884;left:14218;top:16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RODRIGUES</w:t>
                        </w:r>
                      </w:p>
                    </w:txbxContent>
                  </v:textbox>
                </v:rect>
                <v:rect id="Rectangle 3198" style="position:absolute;width:8486;height:1945;left:0;top:16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VAGNER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Criciúma, 24 de novembr</w:t>
      </w:r>
    </w:p>
    <w:p w:rsidR="00E16EA7" w:rsidRDefault="0041159A">
      <w:pPr>
        <w:tabs>
          <w:tab w:val="center" w:pos="3348"/>
          <w:tab w:val="center" w:pos="5792"/>
        </w:tabs>
        <w:spacing w:after="2847" w:line="259" w:lineRule="auto"/>
        <w:ind w:left="0" w:firstLine="0"/>
        <w:jc w:val="left"/>
      </w:pPr>
      <w:r>
        <w:tab/>
        <w:t xml:space="preserve">Pref 'to </w:t>
      </w:r>
      <w:r>
        <w:tab/>
        <w:t>riciúma</w:t>
      </w:r>
    </w:p>
    <w:p w:rsidR="00E16EA7" w:rsidRDefault="0041159A">
      <w:pPr>
        <w:tabs>
          <w:tab w:val="center" w:pos="7369"/>
        </w:tabs>
        <w:spacing w:after="0" w:line="259" w:lineRule="auto"/>
        <w:ind w:left="0" w:firstLine="0"/>
        <w:jc w:val="left"/>
      </w:pPr>
      <w:r>
        <w:rPr>
          <w:sz w:val="22"/>
        </w:rPr>
        <w:t>ACFY/dam/cbm/erm.</w:t>
      </w:r>
      <w:r>
        <w:rPr>
          <w:sz w:val="22"/>
        </w:rPr>
        <w:tab/>
        <w:t>PE 97/2021 — Autoria: Clesio Salvaro</w:t>
      </w:r>
    </w:p>
    <w:sectPr w:rsidR="00E16EA7">
      <w:pgSz w:w="11794" w:h="16718"/>
      <w:pgMar w:top="677" w:right="900" w:bottom="611" w:left="14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4165"/>
    <w:multiLevelType w:val="hybridMultilevel"/>
    <w:tmpl w:val="04B0274E"/>
    <w:lvl w:ilvl="0" w:tplc="3A02BAEE">
      <w:start w:val="1"/>
      <w:numFmt w:val="lowerLetter"/>
      <w:lvlText w:val="%1."/>
      <w:lvlJc w:val="left"/>
      <w:pPr>
        <w:ind w:left="1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98BC2E">
      <w:start w:val="1"/>
      <w:numFmt w:val="lowerLetter"/>
      <w:lvlText w:val="%2"/>
      <w:lvlJc w:val="left"/>
      <w:pPr>
        <w:ind w:left="2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183026">
      <w:start w:val="1"/>
      <w:numFmt w:val="lowerRoman"/>
      <w:lvlText w:val="%3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CEBBBC">
      <w:start w:val="1"/>
      <w:numFmt w:val="decimal"/>
      <w:lvlText w:val="%4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9C2C64">
      <w:start w:val="1"/>
      <w:numFmt w:val="lowerLetter"/>
      <w:lvlText w:val="%5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CEDD94">
      <w:start w:val="1"/>
      <w:numFmt w:val="lowerRoman"/>
      <w:lvlText w:val="%6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9E2B88">
      <w:start w:val="1"/>
      <w:numFmt w:val="decimal"/>
      <w:lvlText w:val="%7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9460B8">
      <w:start w:val="1"/>
      <w:numFmt w:val="lowerLetter"/>
      <w:lvlText w:val="%8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CED38A">
      <w:start w:val="1"/>
      <w:numFmt w:val="lowerRoman"/>
      <w:lvlText w:val="%9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C535D1"/>
    <w:multiLevelType w:val="hybridMultilevel"/>
    <w:tmpl w:val="88F6B896"/>
    <w:lvl w:ilvl="0" w:tplc="FDE04152">
      <w:start w:val="1"/>
      <w:numFmt w:val="upperRoman"/>
      <w:lvlText w:val="%1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79EE0AAC">
      <w:start w:val="1"/>
      <w:numFmt w:val="lowerLetter"/>
      <w:lvlText w:val="%2"/>
      <w:lvlJc w:val="left"/>
      <w:pPr>
        <w:ind w:left="2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C8002A0C">
      <w:start w:val="1"/>
      <w:numFmt w:val="lowerRoman"/>
      <w:lvlText w:val="%3"/>
      <w:lvlJc w:val="left"/>
      <w:pPr>
        <w:ind w:left="2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9CECBA60">
      <w:start w:val="1"/>
      <w:numFmt w:val="decimal"/>
      <w:lvlText w:val="%4"/>
      <w:lvlJc w:val="left"/>
      <w:pPr>
        <w:ind w:left="3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70E20B74">
      <w:start w:val="1"/>
      <w:numFmt w:val="lowerLetter"/>
      <w:lvlText w:val="%5"/>
      <w:lvlJc w:val="left"/>
      <w:pPr>
        <w:ind w:left="4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9B604D0C">
      <w:start w:val="1"/>
      <w:numFmt w:val="lowerRoman"/>
      <w:lvlText w:val="%6"/>
      <w:lvlJc w:val="left"/>
      <w:pPr>
        <w:ind w:left="5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5E3EE516">
      <w:start w:val="1"/>
      <w:numFmt w:val="decimal"/>
      <w:lvlText w:val="%7"/>
      <w:lvlJc w:val="left"/>
      <w:pPr>
        <w:ind w:left="5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2416EB82">
      <w:start w:val="1"/>
      <w:numFmt w:val="lowerLetter"/>
      <w:lvlText w:val="%8"/>
      <w:lvlJc w:val="left"/>
      <w:pPr>
        <w:ind w:left="6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665A29F6">
      <w:start w:val="1"/>
      <w:numFmt w:val="lowerRoman"/>
      <w:lvlText w:val="%9"/>
      <w:lvlJc w:val="left"/>
      <w:pPr>
        <w:ind w:left="7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254296"/>
    <w:multiLevelType w:val="hybridMultilevel"/>
    <w:tmpl w:val="4AD4270C"/>
    <w:lvl w:ilvl="0" w:tplc="653AE602">
      <w:start w:val="1"/>
      <w:numFmt w:val="upperRoman"/>
      <w:lvlText w:val="%1"/>
      <w:lvlJc w:val="left"/>
      <w:pPr>
        <w:ind w:left="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63DA30D0">
      <w:start w:val="1"/>
      <w:numFmt w:val="lowerLetter"/>
      <w:lvlText w:val="%2"/>
      <w:lvlJc w:val="left"/>
      <w:pPr>
        <w:ind w:left="2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FF4EDAB0">
      <w:start w:val="1"/>
      <w:numFmt w:val="lowerRoman"/>
      <w:lvlText w:val="%3"/>
      <w:lvlJc w:val="left"/>
      <w:pPr>
        <w:ind w:left="3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1FE88CCC">
      <w:start w:val="1"/>
      <w:numFmt w:val="decimal"/>
      <w:lvlText w:val="%4"/>
      <w:lvlJc w:val="left"/>
      <w:pPr>
        <w:ind w:left="3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E2241354">
      <w:start w:val="1"/>
      <w:numFmt w:val="lowerLetter"/>
      <w:lvlText w:val="%5"/>
      <w:lvlJc w:val="left"/>
      <w:pPr>
        <w:ind w:left="4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F90AA416">
      <w:start w:val="1"/>
      <w:numFmt w:val="lowerRoman"/>
      <w:lvlText w:val="%6"/>
      <w:lvlJc w:val="left"/>
      <w:pPr>
        <w:ind w:left="5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4AEA827A">
      <w:start w:val="1"/>
      <w:numFmt w:val="decimal"/>
      <w:lvlText w:val="%7"/>
      <w:lvlJc w:val="left"/>
      <w:pPr>
        <w:ind w:left="5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EA24E6BE">
      <w:start w:val="1"/>
      <w:numFmt w:val="lowerLetter"/>
      <w:lvlText w:val="%8"/>
      <w:lvlJc w:val="left"/>
      <w:pPr>
        <w:ind w:left="6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87D44634">
      <w:start w:val="1"/>
      <w:numFmt w:val="lowerRoman"/>
      <w:lvlText w:val="%9"/>
      <w:lvlJc w:val="left"/>
      <w:pPr>
        <w:ind w:left="7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5475873">
    <w:abstractNumId w:val="1"/>
  </w:num>
  <w:num w:numId="2" w16cid:durableId="615789642">
    <w:abstractNumId w:val="2"/>
  </w:num>
  <w:num w:numId="3" w16cid:durableId="110253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EA7"/>
    <w:rsid w:val="0041159A"/>
    <w:rsid w:val="00E1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25" w:lineRule="auto"/>
      <w:ind w:left="252" w:firstLine="112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36"/>
      <w:ind w:left="1227" w:hanging="10"/>
      <w:jc w:val="center"/>
      <w:outlineLvl w:val="0"/>
    </w:pPr>
    <w:rPr>
      <w:rFonts w:ascii="Calibri" w:eastAsia="Calibri" w:hAnsi="Calibri" w:cs="Calibri"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1227" w:hanging="10"/>
      <w:outlineLvl w:val="1"/>
    </w:pPr>
    <w:rPr>
      <w:rFonts w:ascii="Calibri" w:eastAsia="Calibri" w:hAnsi="Calibri" w:cs="Calibri"/>
      <w:color w:val="000000"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28"/>
    </w:rPr>
  </w:style>
  <w:style w:type="character" w:customStyle="1" w:styleId="Ttulo2Char">
    <w:name w:val="Título 2 Char"/>
    <w:link w:val="Ttulo2"/>
    <w:rPr>
      <w:rFonts w:ascii="Calibri" w:eastAsia="Calibri" w:hAnsi="Calibri" w:cs="Calibri"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683</Words>
  <Characters>3690</Characters>
  <Application>Microsoft Office Word</Application>
  <DocSecurity>4</DocSecurity>
  <Lines>30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2026-08-19T18:31:00Z</dcterms:created>
  <dcterms:modified xsi:type="dcterms:W3CDTF">2026-08-19T18:31:00Z</dcterms:modified>
</cp:coreProperties>
</file>