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CE150" w14:textId="77777777" w:rsidR="00144B41" w:rsidRDefault="00DB7B21">
      <w:pPr>
        <w:pStyle w:val="Ttulo1"/>
      </w:pPr>
      <w:r>
        <w:t>ESTADO DE SERGIPE</w:t>
      </w:r>
      <w:r>
        <w:t xml:space="preserve"> </w:t>
      </w:r>
    </w:p>
    <w:p w14:paraId="456CB65E" w14:textId="77777777" w:rsidR="00144B41" w:rsidRDefault="00DB7B21">
      <w:pPr>
        <w:spacing w:line="242" w:lineRule="auto"/>
        <w:ind w:left="2527" w:right="1027" w:hanging="314"/>
        <w:jc w:val="left"/>
      </w:pPr>
      <w:r>
        <w:rPr>
          <w:rFonts w:ascii="Verdana" w:eastAsia="Verdana" w:hAnsi="Verdana" w:cs="Verdana"/>
          <w:sz w:val="19"/>
        </w:rPr>
        <w:t xml:space="preserve">PREFEITURA MUNICIPAL DE ARACAJU Secretaria Municipal de Governo </w:t>
      </w:r>
    </w:p>
    <w:p w14:paraId="769D1B19" w14:textId="77777777" w:rsidR="00144B41" w:rsidRDefault="00DB7B21">
      <w:pPr>
        <w:spacing w:line="259" w:lineRule="auto"/>
        <w:ind w:left="66" w:right="0" w:firstLine="0"/>
        <w:jc w:val="center"/>
      </w:pPr>
      <w:r>
        <w:rPr>
          <w:rFonts w:ascii="Verdana" w:eastAsia="Verdana" w:hAnsi="Verdana" w:cs="Verdana"/>
          <w:sz w:val="19"/>
        </w:rPr>
        <w:t xml:space="preserve"> </w:t>
      </w:r>
    </w:p>
    <w:p w14:paraId="04257DF4" w14:textId="77777777" w:rsidR="00144B41" w:rsidRDefault="00DB7B21">
      <w:pPr>
        <w:pStyle w:val="Ttulo1"/>
        <w:ind w:right="6"/>
      </w:pPr>
      <w:r>
        <w:t>LEI COMPLEMENTAR N.º 67, DE 18.07.2005</w:t>
      </w:r>
      <w:r>
        <w:t xml:space="preserve"> </w:t>
      </w:r>
    </w:p>
    <w:p w14:paraId="2D5DB476" w14:textId="77777777" w:rsidR="00144B41" w:rsidRDefault="00DB7B21">
      <w:pPr>
        <w:spacing w:line="259" w:lineRule="auto"/>
        <w:ind w:left="0" w:right="0" w:firstLine="0"/>
        <w:jc w:val="left"/>
      </w:pPr>
      <w:r>
        <w:rPr>
          <w:rFonts w:ascii="Verdana" w:eastAsia="Verdana" w:hAnsi="Verdana" w:cs="Verdana"/>
          <w:sz w:val="19"/>
        </w:rPr>
        <w:t xml:space="preserve"> </w:t>
      </w:r>
    </w:p>
    <w:p w14:paraId="7EE0DCE5" w14:textId="77777777" w:rsidR="00144B41" w:rsidRDefault="00DB7B21">
      <w:pPr>
        <w:spacing w:after="228" w:line="259" w:lineRule="auto"/>
        <w:ind w:left="0" w:right="0" w:firstLine="0"/>
        <w:jc w:val="left"/>
      </w:pPr>
      <w:r>
        <w:rPr>
          <w:rFonts w:ascii="Verdana" w:eastAsia="Verdana" w:hAnsi="Verdana" w:cs="Verdana"/>
          <w:sz w:val="19"/>
        </w:rPr>
        <w:t xml:space="preserve"> </w:t>
      </w:r>
    </w:p>
    <w:p w14:paraId="138728B7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4331C122" w14:textId="77777777" w:rsidR="00144B41" w:rsidRDefault="00DB7B21">
      <w:pPr>
        <w:spacing w:line="241" w:lineRule="auto"/>
        <w:ind w:left="3962" w:firstLine="0"/>
        <w:jc w:val="right"/>
      </w:pPr>
      <w:r>
        <w:t xml:space="preserve">Autoriza o poder executivo a fixar critérios para regularização de edificações </w:t>
      </w:r>
      <w:r>
        <w:tab/>
        <w:t xml:space="preserve">irregulares </w:t>
      </w:r>
      <w:r>
        <w:tab/>
        <w:t xml:space="preserve">no município </w:t>
      </w:r>
      <w:r>
        <w:tab/>
        <w:t xml:space="preserve">de </w:t>
      </w:r>
      <w:r>
        <w:tab/>
        <w:t xml:space="preserve">aracaju </w:t>
      </w:r>
      <w:r>
        <w:tab/>
        <w:t xml:space="preserve">e </w:t>
      </w:r>
      <w:r>
        <w:tab/>
        <w:t xml:space="preserve">dá providências análogas. </w:t>
      </w:r>
    </w:p>
    <w:p w14:paraId="66CB0838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16074881" w14:textId="77777777" w:rsidR="00144B41" w:rsidRDefault="00DB7B21">
      <w:pPr>
        <w:spacing w:line="249" w:lineRule="auto"/>
        <w:ind w:left="-5" w:right="0"/>
        <w:jc w:val="left"/>
      </w:pPr>
      <w:r>
        <w:t xml:space="preserve">O PREFEITO DO MUNICÍPIO DE ARACAJU: </w:t>
      </w:r>
    </w:p>
    <w:p w14:paraId="30752F84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1AACACB4" w14:textId="77777777" w:rsidR="00144B41" w:rsidRDefault="00DB7B21">
      <w:pPr>
        <w:spacing w:line="249" w:lineRule="auto"/>
        <w:ind w:left="-5" w:right="0"/>
        <w:jc w:val="left"/>
      </w:pPr>
      <w:r>
        <w:t>Faço saber que a Câmara Municipal de Aracaju aprovou e eu sanci</w:t>
      </w:r>
      <w:r>
        <w:t xml:space="preserve">ono a seguinte Lei Complementar: </w:t>
      </w:r>
    </w:p>
    <w:p w14:paraId="6D6A2F62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1DA8B312" w14:textId="77777777" w:rsidR="00144B41" w:rsidRDefault="00DB7B21">
      <w:pPr>
        <w:ind w:left="-5" w:right="0"/>
      </w:pPr>
      <w:r>
        <w:t>Art. 1º</w:t>
      </w:r>
      <w:r>
        <w:t xml:space="preserve"> - Fica o Poder Executivo Municipal autorizado a regularizar toda edificação construída irregularmente no âmbito do município de Aracaju, em conformidade com a presente Lei. </w:t>
      </w:r>
    </w:p>
    <w:p w14:paraId="6BEA85BD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1F199973" w14:textId="77777777" w:rsidR="00144B41" w:rsidRDefault="00DB7B21">
      <w:pPr>
        <w:ind w:left="-5" w:right="0"/>
      </w:pPr>
      <w:r>
        <w:t>Art. 2º</w:t>
      </w:r>
      <w:r>
        <w:t xml:space="preserve"> - O pedido de regularização será formalizado à Prefeitura Municipal de Aracaju, através de seu órgão competente, mediante apresentação da documentação seguinte: </w:t>
      </w:r>
    </w:p>
    <w:p w14:paraId="342098EF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6197DF97" w14:textId="77777777" w:rsidR="00144B41" w:rsidRDefault="00DB7B21">
      <w:pPr>
        <w:numPr>
          <w:ilvl w:val="0"/>
          <w:numId w:val="1"/>
        </w:numPr>
        <w:ind w:right="0" w:hanging="266"/>
      </w:pPr>
      <w:r>
        <w:t xml:space="preserve">– Requerimento em modelo padrão da Prefeitura, assinado pelo Proprietário ou procurador; </w:t>
      </w:r>
    </w:p>
    <w:p w14:paraId="1A698ABC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5DFC10D5" w14:textId="77777777" w:rsidR="00144B41" w:rsidRDefault="00DB7B21">
      <w:pPr>
        <w:numPr>
          <w:ilvl w:val="0"/>
          <w:numId w:val="1"/>
        </w:numPr>
        <w:ind w:right="0" w:hanging="266"/>
      </w:pPr>
      <w:r>
        <w:t xml:space="preserve">– Prova de quitação do tributo imobiliário – IPTU; </w:t>
      </w:r>
    </w:p>
    <w:p w14:paraId="2A1EA09C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7404435B" w14:textId="77777777" w:rsidR="00144B41" w:rsidRDefault="00DB7B21">
      <w:pPr>
        <w:numPr>
          <w:ilvl w:val="0"/>
          <w:numId w:val="1"/>
        </w:numPr>
        <w:ind w:right="0" w:hanging="266"/>
      </w:pPr>
      <w:r>
        <w:t xml:space="preserve">– Escritura registrada do imóvel; </w:t>
      </w:r>
    </w:p>
    <w:p w14:paraId="6298ED39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1FD18497" w14:textId="77777777" w:rsidR="00144B41" w:rsidRDefault="00DB7B21">
      <w:pPr>
        <w:numPr>
          <w:ilvl w:val="0"/>
          <w:numId w:val="1"/>
        </w:numPr>
        <w:ind w:right="0" w:hanging="266"/>
      </w:pPr>
      <w:r>
        <w:t xml:space="preserve">– Levantamento cadastral em três vias contendo assinatura do requerente e do responsável pelo levantamento constando de: </w:t>
      </w:r>
    </w:p>
    <w:p w14:paraId="43D86960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604F5D84" w14:textId="77777777" w:rsidR="00144B41" w:rsidRDefault="00DB7B21">
      <w:pPr>
        <w:ind w:left="-5" w:right="0"/>
      </w:pPr>
      <w:r>
        <w:t>1 – Ficará a Prefeitura Municipal d</w:t>
      </w:r>
      <w:r>
        <w:t xml:space="preserve">e Aracaju através da EMURB responsável pela confecção dos Projetos Arquitetônicos das pessoas comprovadamente carentes:  </w:t>
      </w:r>
    </w:p>
    <w:p w14:paraId="5FC38265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6A6E36AE" w14:textId="77777777" w:rsidR="00144B41" w:rsidRDefault="00DB7B21">
      <w:pPr>
        <w:numPr>
          <w:ilvl w:val="0"/>
          <w:numId w:val="2"/>
        </w:numPr>
        <w:ind w:right="0" w:hanging="278"/>
      </w:pPr>
      <w:r>
        <w:t xml:space="preserve">Planta de localização do terreno na escala 1:500 ou outra compatível; </w:t>
      </w:r>
    </w:p>
    <w:p w14:paraId="213490D2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78A4996F" w14:textId="77777777" w:rsidR="00144B41" w:rsidRDefault="00DB7B21">
      <w:pPr>
        <w:numPr>
          <w:ilvl w:val="0"/>
          <w:numId w:val="2"/>
        </w:numPr>
        <w:ind w:right="0" w:hanging="278"/>
      </w:pPr>
      <w:r>
        <w:t>Planta da situação do imóvel na escala 1:200 ou outra com</w:t>
      </w:r>
      <w:r>
        <w:t xml:space="preserve">patível contendo as seguintes informações: </w:t>
      </w:r>
    </w:p>
    <w:p w14:paraId="5D9F2CA9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3E813A9E" w14:textId="77777777" w:rsidR="00144B41" w:rsidRDefault="00DB7B21">
      <w:pPr>
        <w:numPr>
          <w:ilvl w:val="0"/>
          <w:numId w:val="3"/>
        </w:numPr>
        <w:ind w:right="0" w:hanging="285"/>
      </w:pPr>
      <w:r>
        <w:lastRenderedPageBreak/>
        <w:t xml:space="preserve">Limites do terreno com suas cotas exatas, posições de meios-fios e largura de passeio; </w:t>
      </w:r>
    </w:p>
    <w:p w14:paraId="7EB29676" w14:textId="77777777" w:rsidR="00144B41" w:rsidRDefault="00DB7B21">
      <w:pPr>
        <w:numPr>
          <w:ilvl w:val="0"/>
          <w:numId w:val="3"/>
        </w:numPr>
        <w:ind w:right="0" w:hanging="285"/>
      </w:pPr>
      <w:r>
        <w:t xml:space="preserve">Orientação do terreno em relação ao norte magnético ou ao norte verdadeiro; </w:t>
      </w:r>
    </w:p>
    <w:p w14:paraId="24432F9E" w14:textId="77777777" w:rsidR="00144B41" w:rsidRDefault="00DB7B21">
      <w:pPr>
        <w:numPr>
          <w:ilvl w:val="0"/>
          <w:numId w:val="3"/>
        </w:numPr>
        <w:ind w:right="0" w:hanging="285"/>
      </w:pPr>
      <w:r>
        <w:t>Delimitação da edificação do terreno devidam</w:t>
      </w:r>
      <w:r>
        <w:t xml:space="preserve">ente cotada; </w:t>
      </w:r>
    </w:p>
    <w:p w14:paraId="408698E4" w14:textId="77777777" w:rsidR="00144B41" w:rsidRDefault="00DB7B21">
      <w:pPr>
        <w:numPr>
          <w:ilvl w:val="0"/>
          <w:numId w:val="3"/>
        </w:numPr>
        <w:ind w:right="0" w:hanging="285"/>
      </w:pPr>
      <w:r>
        <w:t xml:space="preserve">Indicação da existência ou não de edificações vizinhas e de respectivos números de porta; </w:t>
      </w:r>
    </w:p>
    <w:p w14:paraId="06A42A2A" w14:textId="77777777" w:rsidR="00144B41" w:rsidRDefault="00DB7B21">
      <w:pPr>
        <w:numPr>
          <w:ilvl w:val="0"/>
          <w:numId w:val="3"/>
        </w:numPr>
        <w:ind w:right="0" w:hanging="285"/>
      </w:pPr>
      <w:r>
        <w:t xml:space="preserve">Área do terreno total; </w:t>
      </w:r>
    </w:p>
    <w:p w14:paraId="62F23DBC" w14:textId="77777777" w:rsidR="00144B41" w:rsidRDefault="00DB7B21">
      <w:pPr>
        <w:numPr>
          <w:ilvl w:val="0"/>
          <w:numId w:val="3"/>
        </w:numPr>
        <w:ind w:right="0" w:hanging="285"/>
      </w:pPr>
      <w:r>
        <w:t xml:space="preserve">Área total construída por pavimento e área construída total; </w:t>
      </w:r>
    </w:p>
    <w:p w14:paraId="02374325" w14:textId="77777777" w:rsidR="00144B41" w:rsidRDefault="00DB7B21">
      <w:pPr>
        <w:numPr>
          <w:ilvl w:val="0"/>
          <w:numId w:val="3"/>
        </w:numPr>
        <w:ind w:right="0" w:hanging="285"/>
      </w:pPr>
      <w:r>
        <w:t xml:space="preserve">Coeficiente de aproveitamento; </w:t>
      </w:r>
    </w:p>
    <w:p w14:paraId="1D17A0DC" w14:textId="77777777" w:rsidR="00144B41" w:rsidRDefault="00DB7B21">
      <w:pPr>
        <w:numPr>
          <w:ilvl w:val="0"/>
          <w:numId w:val="3"/>
        </w:numPr>
        <w:ind w:right="0" w:hanging="285"/>
      </w:pPr>
      <w:r>
        <w:t xml:space="preserve">Taxa de ocupação da construção; </w:t>
      </w:r>
    </w:p>
    <w:p w14:paraId="2E82D72A" w14:textId="77777777" w:rsidR="00144B41" w:rsidRDefault="00DB7B21">
      <w:pPr>
        <w:numPr>
          <w:ilvl w:val="0"/>
          <w:numId w:val="3"/>
        </w:numPr>
        <w:ind w:right="0" w:hanging="285"/>
      </w:pPr>
      <w:r>
        <w:t xml:space="preserve">Taxa de permeabilidade do terreno; </w:t>
      </w:r>
    </w:p>
    <w:p w14:paraId="6C853C6C" w14:textId="77777777" w:rsidR="00144B41" w:rsidRDefault="00DB7B21">
      <w:pPr>
        <w:numPr>
          <w:ilvl w:val="0"/>
          <w:numId w:val="3"/>
        </w:numPr>
        <w:ind w:right="0" w:hanging="285"/>
      </w:pPr>
      <w:r>
        <w:t xml:space="preserve">Gabarito de altura da edificação e número de pavimentos; </w:t>
      </w:r>
    </w:p>
    <w:p w14:paraId="4E6BF717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1EF310F0" w14:textId="77777777" w:rsidR="00144B41" w:rsidRDefault="00DB7B21">
      <w:pPr>
        <w:numPr>
          <w:ilvl w:val="0"/>
          <w:numId w:val="4"/>
        </w:numPr>
        <w:ind w:right="0" w:hanging="192"/>
      </w:pPr>
      <w:r>
        <w:t xml:space="preserve">- Planta baixa dos diversos pavimentos na escala 1:50 ou outra compatível; </w:t>
      </w:r>
    </w:p>
    <w:p w14:paraId="6DDD8A05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6704E2EA" w14:textId="77777777" w:rsidR="00144B41" w:rsidRDefault="00DB7B21">
      <w:pPr>
        <w:numPr>
          <w:ilvl w:val="0"/>
          <w:numId w:val="4"/>
        </w:numPr>
        <w:ind w:right="0" w:hanging="192"/>
      </w:pPr>
      <w:r>
        <w:t xml:space="preserve">- Planta baixa dos diversos pavimentos na escala 1:50 ou outra compatível; </w:t>
      </w:r>
    </w:p>
    <w:p w14:paraId="41822A03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39928A5C" w14:textId="77777777" w:rsidR="00144B41" w:rsidRDefault="00DB7B21">
      <w:pPr>
        <w:numPr>
          <w:ilvl w:val="0"/>
          <w:numId w:val="4"/>
        </w:numPr>
        <w:ind w:right="0" w:hanging="192"/>
      </w:pPr>
      <w:r>
        <w:t xml:space="preserve">- Seções ou cortes longitudinais e transversais da edificação na escala 1:50 ou outra compatível com indicação do perfil do terreno, do meio-fio e da referência de nível – RN; </w:t>
      </w:r>
    </w:p>
    <w:p w14:paraId="45D2BA06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40374069" w14:textId="77777777" w:rsidR="00144B41" w:rsidRDefault="00DB7B21">
      <w:pPr>
        <w:numPr>
          <w:ilvl w:val="0"/>
          <w:numId w:val="4"/>
        </w:numPr>
        <w:ind w:right="0" w:hanging="192"/>
      </w:pPr>
      <w:r>
        <w:t xml:space="preserve">- Planta de elevação das fachadas voltadas para os logradouros públicos na escala 1:50 ou outra compatível. </w:t>
      </w:r>
    </w:p>
    <w:p w14:paraId="22AED9E2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28E96F7F" w14:textId="77777777" w:rsidR="00144B41" w:rsidRDefault="00DB7B21">
      <w:pPr>
        <w:numPr>
          <w:ilvl w:val="0"/>
          <w:numId w:val="5"/>
        </w:numPr>
        <w:ind w:right="0"/>
      </w:pPr>
      <w:r>
        <w:t xml:space="preserve">- Anotação de Responsabilidade Técnica – ART, registrada no CREA, do responsável pelo Levantamento; </w:t>
      </w:r>
    </w:p>
    <w:p w14:paraId="1E671E0D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74F89410" w14:textId="77777777" w:rsidR="00144B41" w:rsidRDefault="00DB7B21">
      <w:pPr>
        <w:numPr>
          <w:ilvl w:val="0"/>
          <w:numId w:val="5"/>
        </w:numPr>
        <w:ind w:right="0"/>
      </w:pPr>
      <w:r>
        <w:t>- Laudo de vistoria técnica das condi</w:t>
      </w:r>
      <w:r>
        <w:t xml:space="preserve">ções de manutenção da edificação em modelo oferecido pela Prefeitura ou similar, acompanhado da respectiva ART. </w:t>
      </w:r>
    </w:p>
    <w:p w14:paraId="7F55249E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006AB684" w14:textId="77777777" w:rsidR="00144B41" w:rsidRDefault="00DB7B21">
      <w:pPr>
        <w:numPr>
          <w:ilvl w:val="0"/>
          <w:numId w:val="5"/>
        </w:numPr>
        <w:ind w:right="0"/>
      </w:pPr>
      <w:r>
        <w:t>- Comprovações de infra-estrutura para a manutenção do uso: Aprovação do sistema contra incêndio e pânico pelo Corpo de Bombeiros e se for o</w:t>
      </w:r>
      <w:r>
        <w:t xml:space="preserve"> caso, Licenciamento ambiental pela ADEMA, Aceitação pela Superintendência Municipal de Transporte e Trânsito (SMTT), declaração da EMSURB quanto ao acondicionamento de lixo, declaração da DESO quanto ao atendimento pelas redes de água e de esgoto, declara</w:t>
      </w:r>
      <w:r>
        <w:t xml:space="preserve">ção da ENERGIPE quanto ao fornecimento de energia. </w:t>
      </w:r>
    </w:p>
    <w:p w14:paraId="18E895D6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2DC8E8D8" w14:textId="77777777" w:rsidR="00144B41" w:rsidRDefault="00DB7B21">
      <w:pPr>
        <w:ind w:left="-5" w:right="0"/>
      </w:pPr>
      <w:r>
        <w:t xml:space="preserve">§1º </w:t>
      </w:r>
      <w:r>
        <w:t>- Os pedidos de pessoa física para regularização de edificações uniresidenciais, com área construída até duzentos metros quadrados (200,00m²) serão formalizados mediante apresentação dos documentos</w:t>
      </w:r>
      <w:r>
        <w:t xml:space="preserve"> descritos nas alíneas I, II, III e VI, de planta de localização e de situação acima especificadas, do laudo técnico de vistoria das  </w:t>
      </w:r>
    </w:p>
    <w:p w14:paraId="0F996AFE" w14:textId="77777777" w:rsidR="00144B41" w:rsidRDefault="00DB7B21">
      <w:pPr>
        <w:ind w:left="-5" w:right="0"/>
      </w:pPr>
      <w:r>
        <w:t xml:space="preserve">condições de manutenção acompanhado da ART e da vistoria do Corpo de Bombeiros. </w:t>
      </w:r>
    </w:p>
    <w:p w14:paraId="0BAA5D2B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21C4F002" w14:textId="77777777" w:rsidR="00144B41" w:rsidRDefault="00DB7B21">
      <w:pPr>
        <w:ind w:left="-5" w:right="0"/>
      </w:pPr>
      <w:r>
        <w:lastRenderedPageBreak/>
        <w:t>§2º</w:t>
      </w:r>
      <w:r>
        <w:t xml:space="preserve"> – Ficam dispensadas de apresentação de laudo de vistoria as edificações enquadradas nos incisos VI art.218 do Código Tributário Município, bem com as integrantes do pat</w:t>
      </w:r>
      <w:r>
        <w:t xml:space="preserve">rimônio municipal que terão atesto das condições Habitabilidade pela Prefeitura. </w:t>
      </w:r>
    </w:p>
    <w:p w14:paraId="1B385375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5AE67FB7" w14:textId="77777777" w:rsidR="00144B41" w:rsidRDefault="00DB7B21">
      <w:pPr>
        <w:ind w:left="-5" w:right="0"/>
      </w:pPr>
      <w:r>
        <w:t>§3º</w:t>
      </w:r>
      <w:r>
        <w:t xml:space="preserve"> - No caso de imóvel que integrar patrimônio público, sem escritura registrada, caberá apresentação de Declaração assinada pelo gestor do Órgão, justificando.  Nessa si</w:t>
      </w:r>
      <w:r>
        <w:t xml:space="preserve">tuação a certidão emitida não terá efeito de averbação em cartório de Registro.  </w:t>
      </w:r>
    </w:p>
    <w:p w14:paraId="57BE6742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3E8C33FB" w14:textId="77777777" w:rsidR="00144B41" w:rsidRDefault="00DB7B21">
      <w:pPr>
        <w:ind w:left="-5" w:right="0"/>
      </w:pPr>
      <w:r>
        <w:t>Art. 3º</w:t>
      </w:r>
      <w:r>
        <w:t xml:space="preserve"> - Os pedidos de Regularização de obra executada sem licença ou em desacordo com o projeto aprovado, somente obterá a Certidão de Regularização se a edificação apre</w:t>
      </w:r>
      <w:r>
        <w:t xml:space="preserve">sentar condições de habitabilidade, devidamente comprovada com o Laudo técnico das condições de manutenção e se atender ainda às prescrições legais aplicáveis. </w:t>
      </w:r>
    </w:p>
    <w:p w14:paraId="23B2F855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23ED87AF" w14:textId="77777777" w:rsidR="00144B41" w:rsidRDefault="00DB7B21">
      <w:pPr>
        <w:ind w:left="-5" w:right="0"/>
      </w:pPr>
      <w:r>
        <w:t>§1º</w:t>
      </w:r>
      <w:r>
        <w:t xml:space="preserve"> - A Prefeitura poderá estabelecer prazo suficiente para atendimento às prescrições legai</w:t>
      </w:r>
      <w:r>
        <w:t xml:space="preserve">s aplicáveis ou fixá-lo em posterior reforma, emitindo Certidão de Existência, se a edificação apresentando condições de Habitabilidade puder ser conservada nas seguintes condições: </w:t>
      </w:r>
    </w:p>
    <w:p w14:paraId="6A7AFDE4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0B6B1250" w14:textId="77777777" w:rsidR="00144B41" w:rsidRDefault="00DB7B21">
      <w:pPr>
        <w:numPr>
          <w:ilvl w:val="0"/>
          <w:numId w:val="6"/>
        </w:numPr>
        <w:ind w:right="0"/>
      </w:pPr>
      <w:r>
        <w:t>Comprovar licenciamento ambiental específico quando for o caso e infra</w:t>
      </w:r>
      <w:r>
        <w:t xml:space="preserve">-estrutura para a manutenção do uso. </w:t>
      </w:r>
    </w:p>
    <w:p w14:paraId="25AA2B8E" w14:textId="77777777" w:rsidR="00144B41" w:rsidRDefault="00DB7B21">
      <w:pPr>
        <w:numPr>
          <w:ilvl w:val="0"/>
          <w:numId w:val="6"/>
        </w:numPr>
        <w:ind w:right="0"/>
      </w:pPr>
      <w:r>
        <w:t>Ocupando recuo frontal, do total de imóveis existentes em ambos os lados do trecho da via, incluindo o imóvel em questão e os terrenos baldios, o somatório de edificações nessa condição, ultrapassar 30% (trinta por cen</w:t>
      </w:r>
      <w:r>
        <w:t xml:space="preserve">to). </w:t>
      </w:r>
    </w:p>
    <w:p w14:paraId="0C55ABAC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4DA7AB18" w14:textId="77777777" w:rsidR="00144B41" w:rsidRDefault="00DB7B21">
      <w:pPr>
        <w:ind w:left="-5" w:right="0"/>
      </w:pPr>
      <w:r>
        <w:t xml:space="preserve">§2º </w:t>
      </w:r>
      <w:r>
        <w:t>- A Certidão de Existência notificará quanto à necessidade de adaptação da edificação à Legislação urbanística, em prazo estabelecido ou em posterior reforma, gravado nas respectivas plantas do levantamento cadastral, para fins de averbação pe</w:t>
      </w:r>
      <w:r>
        <w:t xml:space="preserve">lo Cartório de Registro Imobiliário. </w:t>
      </w:r>
    </w:p>
    <w:p w14:paraId="345B87BE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36735D90" w14:textId="77777777" w:rsidR="00144B41" w:rsidRDefault="00DB7B21">
      <w:pPr>
        <w:ind w:left="-5" w:right="0"/>
      </w:pPr>
      <w:r>
        <w:t>Art. 4º</w:t>
      </w:r>
      <w:r>
        <w:t xml:space="preserve"> - O proprietário da edificação que não puder ser conservada e/ou que não apresentar condições de habitabilidade, nos termos do artigo anterior, será notificado para adaptá-la às prescrições legais especifica</w:t>
      </w:r>
      <w:r>
        <w:t xml:space="preserve">das pela Prefeitura e/ou para atendimento às determinações do Laudo de Vistoria. </w:t>
      </w:r>
    </w:p>
    <w:p w14:paraId="02D9397A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627EC0D4" w14:textId="77777777" w:rsidR="00144B41" w:rsidRDefault="00DB7B21">
      <w:pPr>
        <w:ind w:left="-5" w:right="0"/>
      </w:pPr>
      <w:r>
        <w:t>§1º</w:t>
      </w:r>
      <w:r>
        <w:t xml:space="preserve"> - (</w:t>
      </w:r>
      <w:r>
        <w:t>vetado</w:t>
      </w:r>
      <w:r>
        <w:t xml:space="preserve">). </w:t>
      </w:r>
    </w:p>
    <w:p w14:paraId="33B8781C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46E494A7" w14:textId="77777777" w:rsidR="00144B41" w:rsidRDefault="00DB7B21">
      <w:pPr>
        <w:ind w:left="-5" w:right="0"/>
      </w:pPr>
      <w:r>
        <w:t>§2º</w:t>
      </w:r>
      <w:r>
        <w:t xml:space="preserve"> – (</w:t>
      </w:r>
      <w:r>
        <w:t>vetado</w:t>
      </w:r>
      <w:r>
        <w:t xml:space="preserve">). </w:t>
      </w:r>
    </w:p>
    <w:p w14:paraId="4A279346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6B49BEA4" w14:textId="77777777" w:rsidR="00144B41" w:rsidRDefault="00DB7B21">
      <w:pPr>
        <w:ind w:left="-5" w:right="0"/>
      </w:pPr>
      <w:r>
        <w:t>Art. 5º</w:t>
      </w:r>
      <w:r>
        <w:t xml:space="preserve">  - Serão aplicadas as seguintes multas, conforme incidência das irregularidades especificadas abaixo, sem prejuízo das adeq</w:t>
      </w:r>
      <w:r>
        <w:t xml:space="preserve">uações à legislação urbanística vigente: </w:t>
      </w:r>
    </w:p>
    <w:p w14:paraId="07238E18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tbl>
      <w:tblPr>
        <w:tblStyle w:val="TableGrid"/>
        <w:tblW w:w="8830" w:type="dxa"/>
        <w:tblInd w:w="0" w:type="dxa"/>
        <w:tblCellMar>
          <w:top w:w="0" w:type="dxa"/>
          <w:left w:w="6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740"/>
        <w:gridCol w:w="1793"/>
        <w:gridCol w:w="1846"/>
        <w:gridCol w:w="1740"/>
      </w:tblGrid>
      <w:tr w:rsidR="00144B41" w14:paraId="1D93255D" w14:textId="77777777">
        <w:trPr>
          <w:trHeight w:val="269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A0EF393" w14:textId="77777777" w:rsidR="00144B41" w:rsidRDefault="00DB7B21">
            <w:pPr>
              <w:spacing w:line="259" w:lineRule="auto"/>
              <w:ind w:left="0" w:right="0" w:firstLine="0"/>
              <w:jc w:val="left"/>
            </w:pPr>
            <w:r>
              <w:t xml:space="preserve">     </w:t>
            </w:r>
          </w:p>
        </w:tc>
        <w:tc>
          <w:tcPr>
            <w:tcW w:w="353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A34BD5" w14:textId="77777777" w:rsidR="00144B41" w:rsidRDefault="00DB7B21">
            <w:pPr>
              <w:spacing w:line="259" w:lineRule="auto"/>
              <w:ind w:left="0" w:right="0" w:firstLine="0"/>
            </w:pPr>
            <w:r>
              <w:t xml:space="preserve">  Atende as normas urbanísticas </w:t>
            </w:r>
          </w:p>
        </w:tc>
        <w:tc>
          <w:tcPr>
            <w:tcW w:w="358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5A106EA" w14:textId="77777777" w:rsidR="00144B41" w:rsidRDefault="00DB7B21">
            <w:pPr>
              <w:tabs>
                <w:tab w:val="center" w:pos="1895"/>
                <w:tab w:val="right" w:pos="3518"/>
              </w:tabs>
              <w:spacing w:line="259" w:lineRule="auto"/>
              <w:ind w:left="0" w:right="0" w:firstLine="0"/>
              <w:jc w:val="left"/>
            </w:pPr>
            <w:r>
              <w:t xml:space="preserve">Desatende </w:t>
            </w:r>
            <w:r>
              <w:tab/>
              <w:t xml:space="preserve">as </w:t>
            </w:r>
            <w:r>
              <w:tab/>
              <w:t xml:space="preserve">normas </w:t>
            </w:r>
          </w:p>
        </w:tc>
      </w:tr>
      <w:tr w:rsidR="00144B41" w14:paraId="32A71F3C" w14:textId="77777777">
        <w:trPr>
          <w:trHeight w:val="285"/>
        </w:trPr>
        <w:tc>
          <w:tcPr>
            <w:tcW w:w="17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18E8" w14:textId="77777777" w:rsidR="00144B41" w:rsidRDefault="00DB7B21">
            <w:pPr>
              <w:spacing w:line="259" w:lineRule="auto"/>
              <w:ind w:left="0" w:right="0" w:firstLine="0"/>
            </w:pPr>
            <w:r>
              <w:t>Irregularidades</w:t>
            </w:r>
            <w:r>
              <w:t xml:space="preserve"> </w:t>
            </w:r>
          </w:p>
          <w:p w14:paraId="5E8157FE" w14:textId="77777777" w:rsidR="00144B41" w:rsidRDefault="00DB7B21">
            <w:pPr>
              <w:spacing w:line="259" w:lineRule="auto"/>
              <w:ind w:left="0" w:right="0" w:firstLine="0"/>
              <w:jc w:val="left"/>
            </w:pPr>
            <w:r>
              <w:t xml:space="preserve">  </w:t>
            </w:r>
          </w:p>
          <w:p w14:paraId="231991B4" w14:textId="77777777" w:rsidR="00144B41" w:rsidRDefault="00DB7B21">
            <w:pPr>
              <w:spacing w:line="259" w:lineRule="auto"/>
              <w:ind w:left="0" w:right="0" w:firstLine="0"/>
            </w:pPr>
            <w:r>
              <w:t>Irregularidades</w:t>
            </w:r>
            <w:r>
              <w:t xml:space="preserve"> </w:t>
            </w:r>
          </w:p>
        </w:tc>
        <w:tc>
          <w:tcPr>
            <w:tcW w:w="353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657B" w14:textId="77777777" w:rsidR="00144B41" w:rsidRDefault="00144B4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8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CF745" w14:textId="77777777" w:rsidR="00144B41" w:rsidRDefault="00DB7B21">
            <w:pPr>
              <w:spacing w:line="259" w:lineRule="auto"/>
              <w:ind w:left="0" w:right="0" w:firstLine="0"/>
              <w:jc w:val="left"/>
            </w:pPr>
            <w:r>
              <w:t xml:space="preserve">urbanísticas </w:t>
            </w:r>
          </w:p>
        </w:tc>
      </w:tr>
      <w:tr w:rsidR="00144B41" w14:paraId="72212598" w14:textId="77777777">
        <w:trPr>
          <w:trHeight w:val="5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FC5D" w14:textId="77777777" w:rsidR="00144B41" w:rsidRDefault="00144B4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6522" w14:textId="77777777" w:rsidR="00144B41" w:rsidRDefault="00DB7B21">
            <w:pPr>
              <w:spacing w:line="259" w:lineRule="auto"/>
              <w:ind w:left="0" w:right="0" w:firstLine="0"/>
            </w:pPr>
            <w:r>
              <w:t xml:space="preserve">Inclusive o recuo frontal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B206" w14:textId="77777777" w:rsidR="00144B41" w:rsidRDefault="00DB7B21">
            <w:pPr>
              <w:spacing w:line="259" w:lineRule="auto"/>
              <w:ind w:left="0" w:right="0" w:firstLine="0"/>
              <w:jc w:val="left"/>
            </w:pPr>
            <w:r>
              <w:t xml:space="preserve">Exceto o recuo frontal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86F2" w14:textId="77777777" w:rsidR="00144B41" w:rsidRDefault="00DB7B21">
            <w:pPr>
              <w:spacing w:line="259" w:lineRule="auto"/>
              <w:ind w:left="0" w:right="0" w:firstLine="0"/>
              <w:jc w:val="left"/>
            </w:pPr>
            <w:r>
              <w:t xml:space="preserve">Exceto o recuo frontal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6A191" w14:textId="77777777" w:rsidR="00144B41" w:rsidRDefault="00DB7B21">
            <w:pPr>
              <w:spacing w:line="259" w:lineRule="auto"/>
              <w:ind w:left="2" w:right="0" w:firstLine="0"/>
            </w:pPr>
            <w:r>
              <w:t xml:space="preserve">Inclusive o recuo frontal </w:t>
            </w:r>
          </w:p>
        </w:tc>
      </w:tr>
      <w:tr w:rsidR="00144B41" w14:paraId="516D703B" w14:textId="77777777">
        <w:trPr>
          <w:trHeight w:val="1637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23F6" w14:textId="77777777" w:rsidR="00144B41" w:rsidRDefault="00DB7B21">
            <w:pPr>
              <w:spacing w:line="259" w:lineRule="auto"/>
              <w:ind w:left="0" w:right="8" w:firstLine="0"/>
              <w:jc w:val="left"/>
            </w:pPr>
            <w:r>
              <w:t xml:space="preserve">Obra executada  sem licença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9C5C" w14:textId="77777777" w:rsidR="00144B41" w:rsidRDefault="00DB7B21">
            <w:pPr>
              <w:spacing w:line="259" w:lineRule="auto"/>
              <w:ind w:left="0" w:right="72" w:firstLine="0"/>
            </w:pPr>
            <w:r>
              <w:t xml:space="preserve">Valor da taxa de licença para a área construída total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6955" w14:textId="77777777" w:rsidR="00144B41" w:rsidRDefault="00DB7B21">
            <w:pPr>
              <w:spacing w:line="259" w:lineRule="auto"/>
              <w:ind w:left="0" w:right="67" w:firstLine="0"/>
            </w:pPr>
            <w:r>
              <w:t xml:space="preserve">Duas vezes e meia o valor da taxa de licença para a área construída total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E215" w14:textId="77777777" w:rsidR="00144B41" w:rsidRDefault="00DB7B21">
            <w:pPr>
              <w:spacing w:line="259" w:lineRule="auto"/>
              <w:ind w:left="0" w:right="67" w:firstLine="0"/>
            </w:pPr>
            <w:r>
              <w:t xml:space="preserve">Duas vezes e um quarto do valor da taxa de licença para a área construída total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115F" w14:textId="77777777" w:rsidR="00144B41" w:rsidRDefault="00DB7B21">
            <w:pPr>
              <w:spacing w:line="259" w:lineRule="auto"/>
              <w:ind w:left="2" w:right="67" w:firstLine="0"/>
            </w:pPr>
            <w:r>
              <w:t xml:space="preserve">Do Triplo do valor da taxa de licença para a área construída total </w:t>
            </w:r>
          </w:p>
        </w:tc>
      </w:tr>
      <w:tr w:rsidR="00144B41" w14:paraId="1F32E8AA" w14:textId="77777777">
        <w:trPr>
          <w:trHeight w:val="2450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780C" w14:textId="77777777" w:rsidR="00144B41" w:rsidRDefault="00DB7B21">
            <w:pPr>
              <w:spacing w:line="259" w:lineRule="auto"/>
              <w:ind w:left="0" w:right="0" w:firstLine="0"/>
              <w:jc w:val="left"/>
            </w:pPr>
            <w:r>
              <w:t>Obra executada em desacordo com</w:t>
            </w:r>
            <w:r>
              <w:t xml:space="preserve"> o </w:t>
            </w:r>
            <w:r>
              <w:tab/>
              <w:t xml:space="preserve">projeto aprovado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64C9" w14:textId="77777777" w:rsidR="00144B41" w:rsidRDefault="00DB7B21">
            <w:pPr>
              <w:spacing w:line="259" w:lineRule="auto"/>
              <w:ind w:left="0" w:right="70" w:firstLine="0"/>
            </w:pPr>
            <w:r>
              <w:t xml:space="preserve">Um décimo do valor da taxa de licença para a área construída total, desde que &gt;128,20 UFIR (valor mínimo)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859C0" w14:textId="77777777" w:rsidR="00144B41" w:rsidRDefault="00DB7B21">
            <w:pPr>
              <w:spacing w:line="259" w:lineRule="auto"/>
              <w:ind w:left="0" w:right="0" w:firstLine="0"/>
              <w:jc w:val="left"/>
            </w:pPr>
            <w:r>
              <w:t xml:space="preserve">Duas vezes e um quarto do valor da taxa de licença para a </w:t>
            </w:r>
            <w:r>
              <w:tab/>
              <w:t xml:space="preserve">área construída total.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7CF6D" w14:textId="77777777" w:rsidR="00144B41" w:rsidRDefault="00DB7B21">
            <w:pPr>
              <w:spacing w:line="259" w:lineRule="auto"/>
              <w:ind w:left="0" w:right="67" w:firstLine="0"/>
            </w:pPr>
            <w:r>
              <w:t xml:space="preserve">Do dobro do valor da taxa de licença para a área construída total.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56AC" w14:textId="77777777" w:rsidR="00144B41" w:rsidRDefault="00DB7B21">
            <w:pPr>
              <w:spacing w:line="259" w:lineRule="auto"/>
              <w:ind w:left="2" w:right="67" w:firstLine="0"/>
            </w:pPr>
            <w:r>
              <w:t xml:space="preserve">Duas vezes e três quartos do valor da taxa de licença para a área construída total. </w:t>
            </w:r>
          </w:p>
        </w:tc>
      </w:tr>
    </w:tbl>
    <w:p w14:paraId="7F14960C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53CD57D3" w14:textId="77777777" w:rsidR="00144B41" w:rsidRDefault="00DB7B21">
      <w:pPr>
        <w:ind w:left="-5" w:right="0"/>
      </w:pPr>
      <w:r>
        <w:t>Art.6º</w:t>
      </w:r>
      <w:r>
        <w:t xml:space="preserve"> - A emissão de certidão de regularização ou de certidão de existência, nos casos em que a pr</w:t>
      </w:r>
      <w:r>
        <w:t xml:space="preserve">efeitura estabelecer prazo de adequação às prescrições legais ou em que for fixado até posterior reforma, se submeterá: </w:t>
      </w:r>
    </w:p>
    <w:p w14:paraId="07AF1119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622F9E95" w14:textId="77777777" w:rsidR="00144B41" w:rsidRDefault="00DB7B21">
      <w:pPr>
        <w:numPr>
          <w:ilvl w:val="0"/>
          <w:numId w:val="7"/>
        </w:numPr>
        <w:ind w:right="0"/>
      </w:pPr>
      <w:r>
        <w:t>– Para obra executada sem licença, à aplicação da taxa de licenciamento e de HABITE-SE estabelecidas na tabela X do anexo VII do Cód</w:t>
      </w:r>
      <w:r>
        <w:t xml:space="preserve">igo Tributário do Município de Aracaju, além da multa aplicável, conforme art. 5º. </w:t>
      </w:r>
    </w:p>
    <w:p w14:paraId="57E3A44D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53230692" w14:textId="77777777" w:rsidR="00144B41" w:rsidRDefault="00DB7B21">
      <w:pPr>
        <w:numPr>
          <w:ilvl w:val="0"/>
          <w:numId w:val="7"/>
        </w:numPr>
        <w:ind w:right="0"/>
      </w:pPr>
      <w:r>
        <w:t>– Para obra executada em desacordo com o projeto aprovado, à aplicação da taxa de vistoria, da taxa de licença de acréscimo se for o caso, conforme tabela X do anexo VII</w:t>
      </w:r>
      <w:r>
        <w:t xml:space="preserve"> do Código Tributário e da multa conforme art.5º.  </w:t>
      </w:r>
    </w:p>
    <w:p w14:paraId="01BFFEC3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3D9D2BA6" w14:textId="77777777" w:rsidR="00144B41" w:rsidRDefault="00DB7B21">
      <w:pPr>
        <w:ind w:left="-5" w:right="0"/>
      </w:pPr>
      <w:r>
        <w:t>Art.7º</w:t>
      </w:r>
      <w:r>
        <w:t xml:space="preserve"> - A certidão de regularização ou certidão de existência, nos casos em que for imposta adequação imediata, só será emitida depois de verificada e atestada  </w:t>
      </w:r>
    </w:p>
    <w:p w14:paraId="51A04A9C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0D5B2235" w14:textId="77777777" w:rsidR="00144B41" w:rsidRDefault="00DB7B21">
      <w:pPr>
        <w:ind w:left="-5" w:right="0"/>
      </w:pPr>
      <w:r>
        <w:t xml:space="preserve">pelo órgão urbanístico competente a conclusão dos serviços de adequação a serem licenciados. </w:t>
      </w:r>
    </w:p>
    <w:p w14:paraId="7C3C156E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280F166C" w14:textId="77777777" w:rsidR="00144B41" w:rsidRDefault="00DB7B21">
      <w:pPr>
        <w:ind w:left="-5" w:right="0"/>
      </w:pPr>
      <w:r>
        <w:t>§1º</w:t>
      </w:r>
      <w:r>
        <w:t xml:space="preserve"> - No ato de licenciamento dos serviços de adequação será aplicada sua taxa de licença, além do previsto nos incisos I e II do art. 6º para obra executada sem licença ou para obra executada em desacordo com o projeto aprovado. </w:t>
      </w:r>
    </w:p>
    <w:p w14:paraId="65DBF1A4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41D21A90" w14:textId="77777777" w:rsidR="00144B41" w:rsidRDefault="00DB7B21">
      <w:pPr>
        <w:ind w:left="-5" w:right="0"/>
      </w:pPr>
      <w:r>
        <w:t>§2º-</w:t>
      </w:r>
      <w:r>
        <w:t xml:space="preserve"> Quando da conclu</w:t>
      </w:r>
      <w:r>
        <w:t xml:space="preserve">são dos serviços será aplicada a respectiva taxa de vistoria, em conformidade com o disposto na tabela X, do anexo VII, do Código Tributário do Município de Aracaju. </w:t>
      </w:r>
    </w:p>
    <w:p w14:paraId="3451D510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   </w:t>
      </w:r>
    </w:p>
    <w:p w14:paraId="42679CFB" w14:textId="77777777" w:rsidR="00144B41" w:rsidRDefault="00DB7B21">
      <w:pPr>
        <w:ind w:left="-5" w:right="0"/>
      </w:pPr>
      <w:r>
        <w:t>Art. 8º</w:t>
      </w:r>
      <w:r>
        <w:t xml:space="preserve"> - Para fiel e uniforme aplicação da presente Lei, a Coordenadoria de Contro</w:t>
      </w:r>
      <w:r>
        <w:t>le Urbanístico da EMURB, atenderá a consultas, coligirá elementos, promoverá o intercâmbio de dados técnicos, pelo trato ordinário das questões urbanísticas e pela apreciação de pedidos de regularização e expedirá Recomendações Técnicas, quando solicitadas</w:t>
      </w:r>
      <w:r>
        <w:t xml:space="preserve">, e atualizar-se-á sempre que julgar conveniente. </w:t>
      </w:r>
    </w:p>
    <w:p w14:paraId="1BFE1EAE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7EEBB659" w14:textId="77777777" w:rsidR="00144B41" w:rsidRDefault="00DB7B21">
      <w:pPr>
        <w:ind w:left="-5" w:right="0"/>
      </w:pPr>
      <w:r>
        <w:t>Parágrafo Único</w:t>
      </w:r>
      <w:r>
        <w:t xml:space="preserve"> - Para os fins previstos neste artigo, poderão ser promovidas, quando necessário, conferência ou reuniões técnicas com a participação de representantes das entidades abrangidas por estas</w:t>
      </w:r>
      <w:r>
        <w:t xml:space="preserve"> normas. </w:t>
      </w:r>
    </w:p>
    <w:p w14:paraId="33BF7CED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54286F08" w14:textId="77777777" w:rsidR="00144B41" w:rsidRDefault="00DB7B21">
      <w:pPr>
        <w:ind w:left="-5" w:right="0"/>
      </w:pPr>
      <w:r>
        <w:t>Art. 9º</w:t>
      </w:r>
      <w:r>
        <w:t xml:space="preserve"> - Os efeitos das Recomendações Técnicas, expedidas nos moldes do artigo anterior serão contados a partir da publicação destas no Diário Oficial do Município de Aracaju.  </w:t>
      </w:r>
    </w:p>
    <w:p w14:paraId="2E386511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448A0AE0" w14:textId="77777777" w:rsidR="00144B41" w:rsidRDefault="00DB7B21">
      <w:pPr>
        <w:ind w:left="-5" w:right="0"/>
      </w:pPr>
      <w:r>
        <w:t>Art. 10</w:t>
      </w:r>
      <w:r>
        <w:t xml:space="preserve"> - Os pedidos de Regularização que não se enquadrarem </w:t>
      </w:r>
      <w:r>
        <w:t xml:space="preserve">nas disposições desta Lei, poderão ser submetidos ao Conselho Municipal de Desenvolvimento Urbano e Ambiental, que poderá baixar Resolução disciplinando as condições e requisitos para a emissão de certidão de regularização e de certidão de existência. </w:t>
      </w:r>
    </w:p>
    <w:p w14:paraId="7ED01B12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10AB90BB" w14:textId="77777777" w:rsidR="00144B41" w:rsidRDefault="00DB7B21">
      <w:pPr>
        <w:ind w:left="-5" w:right="0"/>
      </w:pPr>
      <w:r>
        <w:t>Art. 11</w:t>
      </w:r>
      <w:r>
        <w:t xml:space="preserve"> - O Poder Executivo Municipal, através do seu órgão competente, poderá baixar regulamento para a aplicação e cumprimento da presente lei.  </w:t>
      </w:r>
    </w:p>
    <w:p w14:paraId="20DC0DE8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350E4B0F" w14:textId="77777777" w:rsidR="00144B41" w:rsidRDefault="00DB7B21">
      <w:pPr>
        <w:ind w:left="-5" w:right="0"/>
      </w:pPr>
      <w:r>
        <w:t>Art. 12</w:t>
      </w:r>
      <w:r>
        <w:t xml:space="preserve"> - A Prefeitura efetuará estudos no prazo de cinco anos, a partir da publicação desta Lei, instituindo as operações urbanas consorciadas no Plano Diretor, visando a regulamentação de medidas para regularização de construções, reformas ou ampliações executa</w:t>
      </w:r>
      <w:r>
        <w:t xml:space="preserve">das em desacordo com a legislação vigente, conforme o art. 32, da seção X da Lei Federal nº 10.257, de 10 de julho de 2001 - Estatuto da Cidade. </w:t>
      </w:r>
    </w:p>
    <w:p w14:paraId="006246C2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55413ED1" w14:textId="77777777" w:rsidR="00144B41" w:rsidRDefault="00DB7B21">
      <w:pPr>
        <w:ind w:left="-5" w:right="0"/>
      </w:pPr>
      <w:r>
        <w:t>Art. 13</w:t>
      </w:r>
      <w:r>
        <w:t xml:space="preserve"> – Ficam revogadas as disposições em contrário. </w:t>
      </w:r>
    </w:p>
    <w:p w14:paraId="4313B690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664F83FB" w14:textId="77777777" w:rsidR="00144B41" w:rsidRDefault="00DB7B21">
      <w:pPr>
        <w:ind w:left="-5" w:right="0"/>
      </w:pPr>
      <w:r>
        <w:t xml:space="preserve">Art. 14 </w:t>
      </w:r>
      <w:r>
        <w:t>- Esta Lei Complementar entra em vigor n</w:t>
      </w:r>
      <w:r>
        <w:t xml:space="preserve">a data de sua publicação. </w:t>
      </w:r>
    </w:p>
    <w:p w14:paraId="138733F0" w14:textId="77777777" w:rsidR="00144B41" w:rsidRDefault="00DB7B21">
      <w:pPr>
        <w:spacing w:line="259" w:lineRule="auto"/>
        <w:ind w:left="0" w:right="0" w:firstLine="0"/>
        <w:jc w:val="left"/>
      </w:pPr>
      <w:r>
        <w:t xml:space="preserve">  </w:t>
      </w:r>
    </w:p>
    <w:p w14:paraId="44E04C6A" w14:textId="77777777" w:rsidR="00144B41" w:rsidRDefault="00DB7B21">
      <w:pPr>
        <w:ind w:left="-5" w:right="0"/>
      </w:pPr>
      <w:r>
        <w:t>Palácio “</w:t>
      </w:r>
      <w:r>
        <w:t>Ignácio Barbosa</w:t>
      </w:r>
      <w:r>
        <w:t xml:space="preserve">”, em Aracaju, 18 de julho de 2005; 184º da Independência; 117º da República e 150º da Emancipação Política do Município. </w:t>
      </w:r>
    </w:p>
    <w:p w14:paraId="6BE04A42" w14:textId="77777777" w:rsidR="00144B41" w:rsidRDefault="00DB7B21">
      <w:pPr>
        <w:spacing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 </w:t>
      </w:r>
    </w:p>
    <w:p w14:paraId="168DB852" w14:textId="77777777" w:rsidR="00144B41" w:rsidRDefault="00DB7B21">
      <w:pPr>
        <w:spacing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 </w:t>
      </w:r>
    </w:p>
    <w:p w14:paraId="55E4DC75" w14:textId="77777777" w:rsidR="00144B41" w:rsidRDefault="00DB7B21">
      <w:pPr>
        <w:ind w:left="-5" w:right="0"/>
      </w:pPr>
      <w:r>
        <w:t xml:space="preserve">MARCELO DÉDA </w:t>
      </w:r>
    </w:p>
    <w:p w14:paraId="47EA56F6" w14:textId="77777777" w:rsidR="00144B41" w:rsidRDefault="00DB7B21">
      <w:pPr>
        <w:ind w:left="-5" w:right="0"/>
      </w:pPr>
      <w:r>
        <w:t xml:space="preserve">Edvaldo Nogueira </w:t>
      </w:r>
    </w:p>
    <w:p w14:paraId="0416E8C6" w14:textId="77777777" w:rsidR="00144B41" w:rsidRDefault="00DB7B21">
      <w:pPr>
        <w:ind w:left="-5" w:right="0"/>
      </w:pPr>
      <w:r>
        <w:t xml:space="preserve">Maria Lúcia de Oliveira Falcón </w:t>
      </w:r>
    </w:p>
    <w:p w14:paraId="7DEC9964" w14:textId="77777777" w:rsidR="00144B41" w:rsidRDefault="00DB7B21">
      <w:pPr>
        <w:ind w:left="-5" w:right="0"/>
      </w:pPr>
      <w:r>
        <w:t xml:space="preserve">Nilson Nascimento Lima </w:t>
      </w:r>
    </w:p>
    <w:p w14:paraId="78C58AA2" w14:textId="77777777" w:rsidR="00144B41" w:rsidRDefault="00DB7B21">
      <w:pPr>
        <w:ind w:left="-5" w:right="0"/>
      </w:pPr>
      <w:r>
        <w:t>Clóvis Barbosa de Melo</w:t>
      </w:r>
      <w:r>
        <w:rPr>
          <w:rFonts w:ascii="Verdana" w:eastAsia="Verdana" w:hAnsi="Verdana" w:cs="Verdana"/>
        </w:rPr>
        <w:t xml:space="preserve"> </w:t>
      </w:r>
    </w:p>
    <w:p w14:paraId="4D646C0D" w14:textId="77777777" w:rsidR="00144B41" w:rsidRDefault="00DB7B21">
      <w:pPr>
        <w:spacing w:line="259" w:lineRule="auto"/>
        <w:ind w:left="0" w:right="3" w:firstLine="0"/>
        <w:jc w:val="center"/>
      </w:pPr>
      <w:r>
        <w:rPr>
          <w:rFonts w:ascii="Verdana" w:eastAsia="Verdana" w:hAnsi="Verdana" w:cs="Verdana"/>
          <w:color w:val="FF0000"/>
        </w:rPr>
        <w:t xml:space="preserve">Este texto não substitui o publicado no D.O.M. de 11/11/1111 </w:t>
      </w:r>
      <w:r>
        <w:rPr>
          <w:rFonts w:ascii="Verdana" w:eastAsia="Verdana" w:hAnsi="Verdana" w:cs="Verdana"/>
        </w:rPr>
        <w:t xml:space="preserve"> </w:t>
      </w:r>
    </w:p>
    <w:p w14:paraId="20920AA9" w14:textId="77777777" w:rsidR="00144B41" w:rsidRDefault="00DB7B21">
      <w:pPr>
        <w:spacing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144B41">
      <w:pgSz w:w="11900" w:h="16840"/>
      <w:pgMar w:top="2085" w:right="1640" w:bottom="2230" w:left="16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216F"/>
    <w:multiLevelType w:val="hybridMultilevel"/>
    <w:tmpl w:val="8EBEB46C"/>
    <w:lvl w:ilvl="0" w:tplc="1144ADEC">
      <w:start w:val="1"/>
      <w:numFmt w:val="upperRoman"/>
      <w:lvlText w:val="%1"/>
      <w:lvlJc w:val="left"/>
      <w:pPr>
        <w:ind w:left="266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92A29BE">
      <w:start w:val="1"/>
      <w:numFmt w:val="lowerLetter"/>
      <w:lvlText w:val="%2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AAEFBEE">
      <w:start w:val="1"/>
      <w:numFmt w:val="lowerRoman"/>
      <w:lvlText w:val="%3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FFA03EA">
      <w:start w:val="1"/>
      <w:numFmt w:val="decimal"/>
      <w:lvlText w:val="%4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F0087CE">
      <w:start w:val="1"/>
      <w:numFmt w:val="lowerLetter"/>
      <w:lvlText w:val="%5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2C61B8C">
      <w:start w:val="1"/>
      <w:numFmt w:val="lowerRoman"/>
      <w:lvlText w:val="%6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424981A">
      <w:start w:val="1"/>
      <w:numFmt w:val="decimal"/>
      <w:lvlText w:val="%7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A1CDC5C">
      <w:start w:val="1"/>
      <w:numFmt w:val="lowerLetter"/>
      <w:lvlText w:val="%8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B40D8FA">
      <w:start w:val="1"/>
      <w:numFmt w:val="lowerRoman"/>
      <w:lvlText w:val="%9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86F7F"/>
    <w:multiLevelType w:val="hybridMultilevel"/>
    <w:tmpl w:val="5FE682CE"/>
    <w:lvl w:ilvl="0" w:tplc="8FECC4FC">
      <w:start w:val="1"/>
      <w:numFmt w:val="upperRoman"/>
      <w:lvlText w:val="%1"/>
      <w:lvlJc w:val="left"/>
      <w:pPr>
        <w:ind w:left="1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18AAB1C">
      <w:start w:val="1"/>
      <w:numFmt w:val="lowerLetter"/>
      <w:lvlText w:val="%2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38CD15C">
      <w:start w:val="1"/>
      <w:numFmt w:val="lowerRoman"/>
      <w:lvlText w:val="%3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BB0BD00">
      <w:start w:val="1"/>
      <w:numFmt w:val="decimal"/>
      <w:lvlText w:val="%4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C90A904">
      <w:start w:val="1"/>
      <w:numFmt w:val="lowerLetter"/>
      <w:lvlText w:val="%5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9E45D6A">
      <w:start w:val="1"/>
      <w:numFmt w:val="lowerRoman"/>
      <w:lvlText w:val="%6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3862830">
      <w:start w:val="1"/>
      <w:numFmt w:val="decimal"/>
      <w:lvlText w:val="%7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48E4A04">
      <w:start w:val="1"/>
      <w:numFmt w:val="lowerLetter"/>
      <w:lvlText w:val="%8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0EA903A">
      <w:start w:val="1"/>
      <w:numFmt w:val="lowerRoman"/>
      <w:lvlText w:val="%9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6C5E04"/>
    <w:multiLevelType w:val="hybridMultilevel"/>
    <w:tmpl w:val="167CD886"/>
    <w:lvl w:ilvl="0" w:tplc="2E0E4D5E">
      <w:start w:val="2"/>
      <w:numFmt w:val="decimal"/>
      <w:lvlText w:val="%1-"/>
      <w:lvlJc w:val="left"/>
      <w:pPr>
        <w:ind w:left="27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988223A">
      <w:start w:val="1"/>
      <w:numFmt w:val="lowerLetter"/>
      <w:lvlText w:val="%2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1F45D38">
      <w:start w:val="1"/>
      <w:numFmt w:val="lowerRoman"/>
      <w:lvlText w:val="%3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90A9DCC">
      <w:start w:val="1"/>
      <w:numFmt w:val="decimal"/>
      <w:lvlText w:val="%4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776D03A">
      <w:start w:val="1"/>
      <w:numFmt w:val="lowerLetter"/>
      <w:lvlText w:val="%5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B54DEDA">
      <w:start w:val="1"/>
      <w:numFmt w:val="lowerRoman"/>
      <w:lvlText w:val="%6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FB4ADAA">
      <w:start w:val="1"/>
      <w:numFmt w:val="decimal"/>
      <w:lvlText w:val="%7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41862F8">
      <w:start w:val="1"/>
      <w:numFmt w:val="lowerLetter"/>
      <w:lvlText w:val="%8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CEC8A2A">
      <w:start w:val="1"/>
      <w:numFmt w:val="lowerRoman"/>
      <w:lvlText w:val="%9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161D6D"/>
    <w:multiLevelType w:val="hybridMultilevel"/>
    <w:tmpl w:val="1C6CD7EA"/>
    <w:lvl w:ilvl="0" w:tplc="E92E2DB8">
      <w:start w:val="1"/>
      <w:numFmt w:val="lowerLetter"/>
      <w:lvlText w:val="%1)"/>
      <w:lvlJc w:val="left"/>
      <w:pPr>
        <w:ind w:left="28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AD647DA">
      <w:start w:val="1"/>
      <w:numFmt w:val="lowerLetter"/>
      <w:lvlText w:val="%2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8A83692">
      <w:start w:val="1"/>
      <w:numFmt w:val="lowerRoman"/>
      <w:lvlText w:val="%3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3829362">
      <w:start w:val="1"/>
      <w:numFmt w:val="decimal"/>
      <w:lvlText w:val="%4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9D00772">
      <w:start w:val="1"/>
      <w:numFmt w:val="lowerLetter"/>
      <w:lvlText w:val="%5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F74EE4C">
      <w:start w:val="1"/>
      <w:numFmt w:val="lowerRoman"/>
      <w:lvlText w:val="%6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5AA61BE">
      <w:start w:val="1"/>
      <w:numFmt w:val="decimal"/>
      <w:lvlText w:val="%7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42ED4D4">
      <w:start w:val="1"/>
      <w:numFmt w:val="lowerLetter"/>
      <w:lvlText w:val="%8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B265688">
      <w:start w:val="1"/>
      <w:numFmt w:val="lowerRoman"/>
      <w:lvlText w:val="%9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170157"/>
    <w:multiLevelType w:val="hybridMultilevel"/>
    <w:tmpl w:val="0C8EE906"/>
    <w:lvl w:ilvl="0" w:tplc="37729C7E">
      <w:start w:val="1"/>
      <w:numFmt w:val="lowerLetter"/>
      <w:lvlText w:val="%1)"/>
      <w:lvlJc w:val="left"/>
      <w:pPr>
        <w:ind w:left="1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12AD838">
      <w:start w:val="1"/>
      <w:numFmt w:val="lowerLetter"/>
      <w:lvlText w:val="%2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438E722">
      <w:start w:val="1"/>
      <w:numFmt w:val="lowerRoman"/>
      <w:lvlText w:val="%3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BE2AA7E">
      <w:start w:val="1"/>
      <w:numFmt w:val="decimal"/>
      <w:lvlText w:val="%4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5648DF8">
      <w:start w:val="1"/>
      <w:numFmt w:val="lowerLetter"/>
      <w:lvlText w:val="%5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5A25D76">
      <w:start w:val="1"/>
      <w:numFmt w:val="lowerRoman"/>
      <w:lvlText w:val="%6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D2C6116">
      <w:start w:val="1"/>
      <w:numFmt w:val="decimal"/>
      <w:lvlText w:val="%7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B044B0A">
      <w:start w:val="1"/>
      <w:numFmt w:val="lowerLetter"/>
      <w:lvlText w:val="%8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BB8DA7A">
      <w:start w:val="1"/>
      <w:numFmt w:val="lowerRoman"/>
      <w:lvlText w:val="%9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E37C45"/>
    <w:multiLevelType w:val="hybridMultilevel"/>
    <w:tmpl w:val="644AE364"/>
    <w:lvl w:ilvl="0" w:tplc="2CD67948">
      <w:start w:val="4"/>
      <w:numFmt w:val="decimal"/>
      <w:lvlText w:val="%1"/>
      <w:lvlJc w:val="left"/>
      <w:pPr>
        <w:ind w:left="19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2403EEA">
      <w:start w:val="1"/>
      <w:numFmt w:val="lowerLetter"/>
      <w:lvlText w:val="%2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C8A946">
      <w:start w:val="1"/>
      <w:numFmt w:val="lowerRoman"/>
      <w:lvlText w:val="%3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45C52C0">
      <w:start w:val="1"/>
      <w:numFmt w:val="decimal"/>
      <w:lvlText w:val="%4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1F2E896">
      <w:start w:val="1"/>
      <w:numFmt w:val="lowerLetter"/>
      <w:lvlText w:val="%5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DDEB196">
      <w:start w:val="1"/>
      <w:numFmt w:val="lowerRoman"/>
      <w:lvlText w:val="%6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C7A5A82">
      <w:start w:val="1"/>
      <w:numFmt w:val="decimal"/>
      <w:lvlText w:val="%7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6D61B58">
      <w:start w:val="1"/>
      <w:numFmt w:val="lowerLetter"/>
      <w:lvlText w:val="%8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48A3982">
      <w:start w:val="1"/>
      <w:numFmt w:val="lowerRoman"/>
      <w:lvlText w:val="%9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4F351C"/>
    <w:multiLevelType w:val="hybridMultilevel"/>
    <w:tmpl w:val="3F7E556E"/>
    <w:lvl w:ilvl="0" w:tplc="B0A687B6">
      <w:start w:val="5"/>
      <w:numFmt w:val="upperRoman"/>
      <w:lvlText w:val="%1"/>
      <w:lvlJc w:val="left"/>
      <w:pPr>
        <w:ind w:left="1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F96585A">
      <w:start w:val="1"/>
      <w:numFmt w:val="lowerLetter"/>
      <w:lvlText w:val="%2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1DCAB34">
      <w:start w:val="1"/>
      <w:numFmt w:val="lowerRoman"/>
      <w:lvlText w:val="%3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19490DE">
      <w:start w:val="1"/>
      <w:numFmt w:val="decimal"/>
      <w:lvlText w:val="%4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D42B1A2">
      <w:start w:val="1"/>
      <w:numFmt w:val="lowerLetter"/>
      <w:lvlText w:val="%5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73E11C0">
      <w:start w:val="1"/>
      <w:numFmt w:val="lowerRoman"/>
      <w:lvlText w:val="%6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26A125E">
      <w:start w:val="1"/>
      <w:numFmt w:val="decimal"/>
      <w:lvlText w:val="%7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C18D7A4">
      <w:start w:val="1"/>
      <w:numFmt w:val="lowerLetter"/>
      <w:lvlText w:val="%8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7CE677E">
      <w:start w:val="1"/>
      <w:numFmt w:val="lowerRoman"/>
      <w:lvlText w:val="%9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9252382">
    <w:abstractNumId w:val="0"/>
  </w:num>
  <w:num w:numId="2" w16cid:durableId="1600094025">
    <w:abstractNumId w:val="2"/>
  </w:num>
  <w:num w:numId="3" w16cid:durableId="852954621">
    <w:abstractNumId w:val="3"/>
  </w:num>
  <w:num w:numId="4" w16cid:durableId="568462132">
    <w:abstractNumId w:val="5"/>
  </w:num>
  <w:num w:numId="5" w16cid:durableId="1282810240">
    <w:abstractNumId w:val="6"/>
  </w:num>
  <w:num w:numId="6" w16cid:durableId="1344237947">
    <w:abstractNumId w:val="4"/>
  </w:num>
  <w:num w:numId="7" w16cid:durableId="790057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B41"/>
    <w:rsid w:val="00144B41"/>
    <w:rsid w:val="00D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32ADF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3972" w:right="1" w:hanging="10"/>
      <w:jc w:val="both"/>
    </w:pPr>
    <w:rPr>
      <w:rFonts w:ascii="Trebuchet MS" w:eastAsia="Trebuchet MS" w:hAnsi="Trebuchet MS" w:cs="Trebuchet MS"/>
      <w:color w:val="000000"/>
      <w:sz w:val="23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right="2" w:hanging="10"/>
      <w:jc w:val="center"/>
      <w:outlineLvl w:val="0"/>
    </w:pPr>
    <w:rPr>
      <w:rFonts w:ascii="Verdana" w:eastAsia="Verdana" w:hAnsi="Verdana" w:cs="Verdana"/>
      <w:color w:val="000000"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Verdana" w:eastAsia="Verdana" w:hAnsi="Verdana" w:cs="Verdana"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1603</Words>
  <Characters>8658</Characters>
  <Application>Microsoft Office Word</Application>
  <DocSecurity>4</DocSecurity>
  <Lines>72</Lines>
  <Paragraphs>20</Paragraphs>
  <ScaleCrop>false</ScaleCrop>
  <Company/>
  <LinksUpToDate>false</LinksUpToDate>
  <CharactersWithSpaces>10241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Complementar 067_05 - Regularização de Edificações</dc:title>
  <dc:subject/>
  <dc:creator>anete.00865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