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3110" w14:textId="77777777" w:rsidR="0054700C" w:rsidRDefault="00000000">
      <w:pPr>
        <w:pStyle w:val="Ttulo2"/>
        <w:spacing w:before="200" w:after="200"/>
      </w:pPr>
      <w:r>
        <w:rPr>
          <w:b/>
          <w:bCs/>
          <w:sz w:val="28"/>
          <w:szCs w:val="28"/>
        </w:rPr>
        <w:t>Laudo Técnico 01 — Regularização de Imóvel Residencial Unifamiliar</w:t>
      </w:r>
    </w:p>
    <w:p w14:paraId="6831D979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1. Identificação do Imóvel</w:t>
      </w:r>
    </w:p>
    <w:p w14:paraId="5B70ECAB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Endereço: [Rua/Av., nº, complemento, Bairro, Município/UF, CEP]</w:t>
      </w:r>
    </w:p>
    <w:p w14:paraId="163443AD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Matrícula no Registro de Imóveis: [Matrícula nº XXXX, Cartório de Registro de Imóveis da Comarca de XXXXX] (se aplicável)</w:t>
      </w:r>
    </w:p>
    <w:p w14:paraId="6E14F85F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Inscrição Municipal (IPTU): [XXXXXX-XX]</w:t>
      </w:r>
    </w:p>
    <w:p w14:paraId="35893B04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Descrição sucinta: Casa unifamiliar em alvenaria, 2 pavimentos, área construída aproximada de [</w:t>
      </w:r>
      <w:proofErr w:type="gramStart"/>
      <w:r>
        <w:rPr>
          <w:sz w:val="24"/>
          <w:szCs w:val="24"/>
        </w:rPr>
        <w:t>XXX,XX</w:t>
      </w:r>
      <w:proofErr w:type="gramEnd"/>
      <w:r>
        <w:rPr>
          <w:sz w:val="24"/>
          <w:szCs w:val="24"/>
        </w:rPr>
        <w:t xml:space="preserve"> m^2] em terreno de [XXX,XX m^2].</w:t>
      </w:r>
    </w:p>
    <w:p w14:paraId="6CA9CE82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1. Objetivo do Laudo</w:t>
      </w:r>
    </w:p>
    <w:p w14:paraId="49644B0F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Este laudo tem como finalidade instruir o processo de regularização do imóvel junto aos órgãos competentes, especialmente Prefeitura Municipal (obras/urbanismo) e, quando aplicável, Cartório de Registro de Imóveis, visando à conformidade documental e cadastral.</w:t>
      </w:r>
    </w:p>
    <w:p w14:paraId="27A065C7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1. Vistoria e Análise</w:t>
      </w:r>
    </w:p>
    <w:p w14:paraId="4F6D4946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Vistoria realizada em: [data], das [</w:t>
      </w:r>
      <w:proofErr w:type="spellStart"/>
      <w:r>
        <w:rPr>
          <w:sz w:val="24"/>
          <w:szCs w:val="24"/>
        </w:rPr>
        <w:t>hh:mm</w:t>
      </w:r>
      <w:proofErr w:type="spellEnd"/>
      <w:r>
        <w:rPr>
          <w:sz w:val="24"/>
          <w:szCs w:val="24"/>
        </w:rPr>
        <w:t>] às [</w:t>
      </w:r>
      <w:proofErr w:type="spellStart"/>
      <w:r>
        <w:rPr>
          <w:sz w:val="24"/>
          <w:szCs w:val="24"/>
        </w:rPr>
        <w:t>hh:mm</w:t>
      </w:r>
      <w:proofErr w:type="spellEnd"/>
      <w:r>
        <w:rPr>
          <w:sz w:val="24"/>
          <w:szCs w:val="24"/>
        </w:rPr>
        <w:t>].</w:t>
      </w:r>
    </w:p>
    <w:p w14:paraId="2EA0F54C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Condições observadas: Estrutura aparente íntegra (lajes/pilares/vigas sem manifestações patológicas significativas); alvenarias e revestimentos em bom estado; instalações elétricas aparentes conforme NBR 5410 (quadros identificados, DR </w:t>
      </w:r>
      <w:proofErr w:type="gramStart"/>
      <w:r>
        <w:rPr>
          <w:sz w:val="24"/>
          <w:szCs w:val="24"/>
        </w:rPr>
        <w:t>nos circuitos molhados recomendável</w:t>
      </w:r>
      <w:proofErr w:type="gramEnd"/>
      <w:r>
        <w:rPr>
          <w:sz w:val="24"/>
          <w:szCs w:val="24"/>
        </w:rPr>
        <w:t xml:space="preserve">); instalações </w:t>
      </w:r>
      <w:proofErr w:type="spellStart"/>
      <w:r>
        <w:rPr>
          <w:sz w:val="24"/>
          <w:szCs w:val="24"/>
        </w:rPr>
        <w:t>hidrossanitárias</w:t>
      </w:r>
      <w:proofErr w:type="spellEnd"/>
      <w:r>
        <w:rPr>
          <w:sz w:val="24"/>
          <w:szCs w:val="24"/>
        </w:rPr>
        <w:t xml:space="preserve"> funcionais (NBR 5626/NBR 8160); ventilação e iluminação naturais adequadas; cobertura sem infiltrações ativas; ausência de fissuração estrutural relevante.</w:t>
      </w:r>
    </w:p>
    <w:p w14:paraId="6FEF298A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Comparativo com documentação: Não foi apresentada planta aprovada e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oficial. Observam-se acréscimos não averbados no pavimento térreo (aprox. [</w:t>
      </w:r>
      <w:proofErr w:type="gramStart"/>
      <w:r>
        <w:rPr>
          <w:sz w:val="24"/>
          <w:szCs w:val="24"/>
        </w:rPr>
        <w:t>XX,XX</w:t>
      </w:r>
      <w:proofErr w:type="gramEnd"/>
      <w:r>
        <w:rPr>
          <w:sz w:val="24"/>
          <w:szCs w:val="24"/>
        </w:rPr>
        <w:t xml:space="preserve"> m^2]) e área de varanda incorporada ao interior.</w:t>
      </w:r>
    </w:p>
    <w:p w14:paraId="45199788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Normas e legislação consideradas:</w:t>
      </w:r>
    </w:p>
    <w:p w14:paraId="01D714C0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Código de Obras Municipal e Lei de Uso e Ocupação do Solo (LUOS)/Zoneamento aplicáveis.</w:t>
      </w:r>
    </w:p>
    <w:p w14:paraId="3343C325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Plano Diretor Municipal (parâmetros urbanísticos).</w:t>
      </w:r>
    </w:p>
    <w:p w14:paraId="49A24187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ABNT NBR 16747 (Inspeção Predial), NBR 5410 (Instalações elétricas de baixa tensão), NBR 5626 (Instalações de água fria), NBR 8160 (Esgoto predial), NBR 9050 (Acessibilidade — quando aplicável a acesso/rota), NBR 15575 (Desempenho de edificações habitacionais).</w:t>
      </w:r>
    </w:p>
    <w:p w14:paraId="70B8B5C7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Instruções do Corpo de Bombeiros quando o uso/exigência local demandar.</w:t>
      </w:r>
    </w:p>
    <w:p w14:paraId="7922760C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1. Constatações e Recomendações</w:t>
      </w:r>
    </w:p>
    <w:p w14:paraId="3A1793C9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Irregularidades identificadas:</w:t>
      </w:r>
    </w:p>
    <w:p w14:paraId="358D4F60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Acréscimos executados sem licenciamento e sem averbação na matrícula.</w:t>
      </w:r>
    </w:p>
    <w:p w14:paraId="092AE90D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Divergência entre o construído e o cadastro do IPTU (área/uso).</w:t>
      </w:r>
    </w:p>
    <w:p w14:paraId="4E3B3CA9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Ausência de peça técnica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legal para protocolo de regularização.</w:t>
      </w:r>
    </w:p>
    <w:p w14:paraId="51930E4A" w14:textId="77777777" w:rsidR="0054700C" w:rsidRDefault="00000000">
      <w:pPr>
        <w:spacing w:before="100" w:after="100"/>
      </w:pPr>
      <w:r>
        <w:rPr>
          <w:sz w:val="24"/>
          <w:szCs w:val="24"/>
        </w:rPr>
        <w:t>Recomendações técnicas e procedimentos:</w:t>
      </w:r>
    </w:p>
    <w:p w14:paraId="11980022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lastRenderedPageBreak/>
        <w:t xml:space="preserve">1. Levantamento arquitetônico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e Projeto Arquitetônico Legal conforme Código de Obras e LUOS, contemplando:</w:t>
      </w:r>
    </w:p>
    <w:p w14:paraId="0F49C443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2. Plantas, cortes, fachadas, quadro de áreas, taxas urbanísticas e atendimento a recuos/ocupação/permeabilidade.</w:t>
      </w:r>
    </w:p>
    <w:p w14:paraId="1BFB02C0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3. Emissão de RRT/ART para levantamento, projeto legal e acompanhamento do processo.</w:t>
      </w:r>
    </w:p>
    <w:p w14:paraId="07A55360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4. Protocolo de Regularização de Obra Concluída/Anistia (se vigente) com:</w:t>
      </w:r>
    </w:p>
    <w:p w14:paraId="6C7C3242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5. Peças gráficas, memorial descritivo, laudos fotográficos, ART/RRT, comprovantes e certidões exigidos pela Prefeitura.</w:t>
      </w:r>
    </w:p>
    <w:p w14:paraId="73A10A81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6. Ajustes construtivos, caso requeridos pela análise municipal:</w:t>
      </w:r>
    </w:p>
    <w:p w14:paraId="041CF2E0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7. Adequar ventilação/iluminação mínima, rotas de saída e guarda-corpos (quando aplicável).</w:t>
      </w:r>
    </w:p>
    <w:p w14:paraId="659E202A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8. Instalar DR nos circuitos de áreas molhadas e aterramento/SPA conforme NBR 5410.</w:t>
      </w:r>
    </w:p>
    <w:p w14:paraId="7E44CC36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9. Conclusão do processo com emissão de Certidão/Alvará de Regularização e, se cabível, averbação no Registro de Imóveis.</w:t>
      </w:r>
    </w:p>
    <w:p w14:paraId="305B3578" w14:textId="77777777" w:rsidR="0054700C" w:rsidRDefault="00000000">
      <w:pPr>
        <w:spacing w:before="100" w:after="100"/>
      </w:pPr>
      <w:r>
        <w:rPr>
          <w:sz w:val="24"/>
          <w:szCs w:val="24"/>
        </w:rPr>
        <w:t>Materiais/técnicas recomendadas para adequações:</w:t>
      </w:r>
    </w:p>
    <w:p w14:paraId="361F0E31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Elétrica: dispositivos DR 30 </w:t>
      </w:r>
      <w:proofErr w:type="spellStart"/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em áreas úmidas; identificação de circuitos no QDC; condutores e disjuntores conforme NBR 5410.</w:t>
      </w:r>
    </w:p>
    <w:p w14:paraId="60704038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Hidrossanitário: sifões/vedações adequadas; ventilação de esgoto conforme NBR 8160; pressurização e estanqueidade conforme NBR 5626.</w:t>
      </w:r>
    </w:p>
    <w:p w14:paraId="4D5C9D0E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Proteções: guarda-corpos com altura mínima e fechamento conforme norma; corrimãos contínuos.</w:t>
      </w:r>
    </w:p>
    <w:p w14:paraId="7501ED76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Revestimentos e vedações: regularização das juntas e rejuntes; correção pontual de fissuras não estruturais.</w:t>
      </w:r>
    </w:p>
    <w:p w14:paraId="65FFBDBA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1. Documentação Anexa</w:t>
      </w:r>
    </w:p>
    <w:p w14:paraId="1F1E7E23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Croquis e plantas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(plantas, cortes, fachadas).</w:t>
      </w:r>
    </w:p>
    <w:p w14:paraId="6FD9B7F7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Registro fotográfico georreferenciado de todos os ambientes/elementos críticos.</w:t>
      </w:r>
    </w:p>
    <w:p w14:paraId="0E7361DD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Memorial descritivo de materiais e acabamentos.</w:t>
      </w:r>
    </w:p>
    <w:p w14:paraId="7B7E1ABF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Cópia da matrícula/contrato de posse (se aplicável) e do carnê de IPTU.</w:t>
      </w:r>
    </w:p>
    <w:p w14:paraId="2FD50BD2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ART/RRT de levantamento e projeto.</w:t>
      </w:r>
    </w:p>
    <w:p w14:paraId="1B3349A3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Certidões e comprovantes definidos pelo município.</w:t>
      </w:r>
    </w:p>
    <w:p w14:paraId="199CBD98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t>1. Conclusão</w:t>
      </w:r>
    </w:p>
    <w:p w14:paraId="2D223FB8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Parecer: O imóvel apresenta condições gerais de segurança, estabilidade e habitabilidade. As divergências identificadas são sanáveis via regularização administrativa com apresentação de projeto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”, memorial e eventuais ajustes construtivos pontuais.</w:t>
      </w:r>
    </w:p>
    <w:p w14:paraId="15F344F9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Viabilidade: Considera-se viável a regularização, desde que cumpridas as recomendações e exigências do órgão municipal competente, culminando na emissão do documento de regularização.</w:t>
      </w:r>
    </w:p>
    <w:p w14:paraId="30A9B0BE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Declaração: Mediante as adequações e protocolos indicados, o imóvel poderá ser regularizado conforme legislação urbanística vigente.</w:t>
      </w:r>
    </w:p>
    <w:p w14:paraId="78EE29E8" w14:textId="77777777" w:rsidR="0054700C" w:rsidRDefault="00000000">
      <w:pPr>
        <w:spacing w:before="100" w:after="100"/>
        <w:ind w:left="720" w:hanging="360"/>
      </w:pPr>
      <w:r>
        <w:rPr>
          <w:sz w:val="24"/>
          <w:szCs w:val="24"/>
        </w:rPr>
        <w:lastRenderedPageBreak/>
        <w:t>1. Responsável Técnico</w:t>
      </w:r>
    </w:p>
    <w:p w14:paraId="63CAB505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Nome: [Nome completo do profissional]</w:t>
      </w:r>
    </w:p>
    <w:p w14:paraId="728F77E0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Registro: [CREA/CAU nº]</w:t>
      </w:r>
    </w:p>
    <w:p w14:paraId="04F6BE45" w14:textId="77777777" w:rsidR="0054700C" w:rsidRDefault="00000000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Assinatura e carimbo: ________________________________________</w:t>
      </w:r>
    </w:p>
    <w:p w14:paraId="0DD41C9D" w14:textId="77777777" w:rsidR="003B2917" w:rsidRDefault="003B2917">
      <w:pPr>
        <w:pStyle w:val="Ttulo2"/>
        <w:spacing w:before="200" w:after="200"/>
        <w:rPr>
          <w:b/>
          <w:bCs/>
          <w:sz w:val="28"/>
          <w:szCs w:val="28"/>
        </w:rPr>
      </w:pPr>
    </w:p>
    <w:p w14:paraId="32FB6028" w14:textId="77777777" w:rsidR="003B2917" w:rsidRDefault="003B2917">
      <w:pPr>
        <w:pStyle w:val="Ttulo2"/>
        <w:spacing w:before="200" w:after="200"/>
        <w:rPr>
          <w:b/>
          <w:bCs/>
          <w:sz w:val="28"/>
          <w:szCs w:val="28"/>
        </w:rPr>
      </w:pPr>
    </w:p>
    <w:p w14:paraId="74346C44" w14:textId="77777777" w:rsidR="003B2917" w:rsidRDefault="003B2917">
      <w:pPr>
        <w:pStyle w:val="Ttulo2"/>
        <w:spacing w:before="200" w:after="200"/>
        <w:rPr>
          <w:b/>
          <w:bCs/>
          <w:sz w:val="28"/>
          <w:szCs w:val="28"/>
        </w:rPr>
      </w:pPr>
    </w:p>
    <w:sectPr w:rsidR="003B29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504F7"/>
    <w:multiLevelType w:val="hybridMultilevel"/>
    <w:tmpl w:val="5A504AC2"/>
    <w:lvl w:ilvl="0" w:tplc="5364ADF0">
      <w:start w:val="1"/>
      <w:numFmt w:val="bullet"/>
      <w:lvlText w:val="●"/>
      <w:lvlJc w:val="left"/>
      <w:pPr>
        <w:ind w:left="720" w:hanging="360"/>
      </w:pPr>
    </w:lvl>
    <w:lvl w:ilvl="1" w:tplc="52062504">
      <w:start w:val="1"/>
      <w:numFmt w:val="bullet"/>
      <w:lvlText w:val="○"/>
      <w:lvlJc w:val="left"/>
      <w:pPr>
        <w:ind w:left="1440" w:hanging="360"/>
      </w:pPr>
    </w:lvl>
    <w:lvl w:ilvl="2" w:tplc="8F6A4C8C">
      <w:start w:val="1"/>
      <w:numFmt w:val="bullet"/>
      <w:lvlText w:val="■"/>
      <w:lvlJc w:val="left"/>
      <w:pPr>
        <w:ind w:left="2160" w:hanging="360"/>
      </w:pPr>
    </w:lvl>
    <w:lvl w:ilvl="3" w:tplc="E64C79C8">
      <w:start w:val="1"/>
      <w:numFmt w:val="bullet"/>
      <w:lvlText w:val="●"/>
      <w:lvlJc w:val="left"/>
      <w:pPr>
        <w:ind w:left="2880" w:hanging="360"/>
      </w:pPr>
    </w:lvl>
    <w:lvl w:ilvl="4" w:tplc="4942C0BC">
      <w:start w:val="1"/>
      <w:numFmt w:val="bullet"/>
      <w:lvlText w:val="○"/>
      <w:lvlJc w:val="left"/>
      <w:pPr>
        <w:ind w:left="3600" w:hanging="360"/>
      </w:pPr>
    </w:lvl>
    <w:lvl w:ilvl="5" w:tplc="61EE680A">
      <w:start w:val="1"/>
      <w:numFmt w:val="bullet"/>
      <w:lvlText w:val="■"/>
      <w:lvlJc w:val="left"/>
      <w:pPr>
        <w:ind w:left="4320" w:hanging="360"/>
      </w:pPr>
    </w:lvl>
    <w:lvl w:ilvl="6" w:tplc="AF1AE550">
      <w:start w:val="1"/>
      <w:numFmt w:val="bullet"/>
      <w:lvlText w:val="●"/>
      <w:lvlJc w:val="left"/>
      <w:pPr>
        <w:ind w:left="5040" w:hanging="360"/>
      </w:pPr>
    </w:lvl>
    <w:lvl w:ilvl="7" w:tplc="B5F88E28">
      <w:start w:val="1"/>
      <w:numFmt w:val="bullet"/>
      <w:lvlText w:val="●"/>
      <w:lvlJc w:val="left"/>
      <w:pPr>
        <w:ind w:left="5760" w:hanging="360"/>
      </w:pPr>
    </w:lvl>
    <w:lvl w:ilvl="8" w:tplc="2BAE0C9A">
      <w:start w:val="1"/>
      <w:numFmt w:val="bullet"/>
      <w:lvlText w:val="●"/>
      <w:lvlJc w:val="left"/>
      <w:pPr>
        <w:ind w:left="6480" w:hanging="360"/>
      </w:pPr>
    </w:lvl>
  </w:abstractNum>
  <w:num w:numId="1" w16cid:durableId="1851065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00C"/>
    <w:rsid w:val="0033036E"/>
    <w:rsid w:val="003B2917"/>
    <w:rsid w:val="0054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D6CA7"/>
  <w15:docId w15:val="{6B218442-DEA5-4F87-A53C-010FAB29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FAST PREV</cp:lastModifiedBy>
  <cp:revision>3</cp:revision>
  <dcterms:created xsi:type="dcterms:W3CDTF">2025-12-16T21:21:00Z</dcterms:created>
  <dcterms:modified xsi:type="dcterms:W3CDTF">2026-08-01T16:38:00Z</dcterms:modified>
</cp:coreProperties>
</file>