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r>
        <w:t>Paridade Python x C++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r>
              <w:rPr>
                <w:b w:val="0"/>
              </w:rPr>
              <w:t>Comparacao agnostica de funcionalidades, interface, metodos e fluxos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r>
              <w:rPr>
                <w:b w:val="0"/>
              </w:rPr>
              <w:t>Preparado por Codex</w:t>
              <w:br/>
              <w:t>12 de julho de 2026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headerReference w:type="default" r:id="rId6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t>Conteudo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t>Resumo executivo | Introducao | Achados principais | Implicacoes | Recomendacoes | Conclusao | Apendice</w:t>
      </w:r>
    </w:p>
    <w:bookmarkStart w:colFirst="0" w:colLast="0" w:name="bookmark=id.i23wo83gyh7m" w:id="1"/>
    <w:bookmarkEnd w:id="1"/>
    <w:p w14:paraId="00000017">
      <w:pPr>
        <w:pStyle w:val="Heading1"/>
        <w:pageBreakBefore w:val="1"/>
        <w:rPr/>
      </w:pPr>
      <w:r>
        <w:t>Resumo executivo</w:t>
      </w:r>
    </w:p>
    <w:p w14:paraId="00000018">
      <w:pPr>
        <w:rPr/>
      </w:pPr>
      <w:r>
        <w:t>O levantamento comparou os projetos SSA Consulta Rapida em Python/PyQt6 e C++20/Qt6/QML sem copiar arquitetura entre linguagens. Foram catalogadas 42 funcionalidades cruzaveis: 23 equivalentes, 10 parciais, 6 localizadas somente no Python e 3 localizadas somente no C++.</w:t>
      </w:r>
    </w:p>
    <w:p w14:paraId="00000019">
      <w:pPr>
        <w:rPr/>
      </w:pPr>
      <w:r>
        <w:t>Python possui maior amplitude operacional. C++ possui separacao de camadas, consulta SQL paginada, cancelamento explicito e o diferencial confirmado de atalhos de situacao tri-state: desligado, incluir =CODE, excluir !CODE.</w:t>
      </w:r>
    </w:p>
    <w:bookmarkStart w:colFirst="0" w:colLast="0" w:name="bookmark=id.1sqjewf8afxt" w:id="2"/>
    <w:bookmarkEnd w:id="2"/>
    <w:p w14:paraId="0000001A">
      <w:pPr>
        <w:pStyle w:val="Heading2"/>
        <w:rPr/>
      </w:pPr>
      <w:r>
        <w:t>Visao rapida</w:t>
      </w:r>
    </w:p>
    <w:p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Python: SAM API, undo, consolidacao de entrada e troca de banco pela GUI.</w:t>
      </w:r>
    </w:p>
    <w:p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C++: tri-state com !, preset JSON, densidade e cancelar consulta visivel.</w:t>
      </w:r>
    </w:p>
    <w:p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Ambos: busca, filtros, tabela, detalhes, derivadas, importacao e manutencao.</w:t>
      </w:r>
    </w:p>
    <w:bookmarkStart w:colFirst="0" w:colLast="0" w:name="bookmark=id.4t4jj91ycfx" w:id="3"/>
    <w:bookmarkEnd w:id="3"/>
    <w:p w14:paraId="0000001E">
      <w:pPr>
        <w:pStyle w:val="Heading2"/>
        <w:rPr/>
      </w:pPr>
      <w:r>
        <w:t>Introducao</w:t>
      </w:r>
    </w:p>
    <w:p w14:paraId="0000001F">
      <w:pPr>
        <w:rPr/>
      </w:pPr>
      <w:r>
        <w:t>Objetivo: produzir base interna rastreavel para decidir paridade funcional. Cada item liga resultado de usuario a superficie visual, simbolos internos, I/O, concorrencia, testes existentes e evidencia de arquivo/linha.</w:t>
      </w:r>
    </w:p>
    <w:p w14:paraId="00000020">
      <w:pPr>
        <w:rPr/>
      </w:pPr>
      <w:r>
        <w:t>Metodo: leitura estatica dirigida, tres subagentes especializados, busca CLI, inspecao de contratos/testes e capturas runtime no macOS. Ausencia significa nao localizado no escopo, nao prova absoluta.</w:t>
      </w:r>
    </w:p>
    <w:bookmarkStart w:colFirst="0" w:colLast="0" w:name="bookmark=id.xx7bxdemqiq" w:id="4"/>
    <w:bookmarkEnd w:id="4"/>
    <w:p w14:paraId="00000021">
      <w:pPr>
        <w:pStyle w:val="Heading1"/>
        <w:pageBreakBefore w:val="1"/>
        <w:rPr/>
      </w:pPr>
      <w:r>
        <w:t>Achados principais</w:t>
      </w:r>
    </w:p>
    <w:p w14:paraId="00000022">
      <w:pPr>
        <w:rPr/>
      </w:pPr>
      <w:r>
        <w:t>A matriz mostra paridade alta no nucleo de consulta, mas diferencas importantes em operacao, UX e arquitetura. Mecanismo existente e contrato testado foram registrados separadamente.</w:t>
      </w:r>
    </w:p>
    <w:p w14:paraId="00000023">
      <w:pPr>
        <w:pStyle w:val="Heading2"/>
        <w:rPr/>
      </w:pPr>
      <w:r>
        <w:t>Contexto e condicoes</w:t>
      </w:r>
    </w:p>
    <w:p w14:paraId="00000024">
      <w:pPr>
        <w:rPr/>
      </w:pPr>
      <w:r>
        <w:t>Python foi observado no branch dev, HEAD d8c4033c. C++ foi consolidado no branch master, HEAD ca4e144. O HEAD C++ mudou externamente durante a rodada; nenhuma fonte existente foi alterada pelo levantamento.</w:t>
      </w:r>
    </w:p>
    <w:p w14:paraId="00000025">
      <w:pPr>
        <w:pStyle w:val="Heading2"/>
        <w:rPr/>
      </w:pPr>
      <w:r>
        <w:t>Padroes na evidencia</w:t>
      </w:r>
    </w:p>
    <w:p w14:paraId="00000026">
      <w:pPr>
        <w:rPr/>
      </w:pPr>
      <w:r>
        <w:t>Python usa DataFrames, workers e controladores extraidos de uma fachada ampla. C++ usa QML/viewmodels, coordinators, services, ports e SQLite. Ambos possuem cancelamento, mas apenas C++ expoe comando geral de cancelar consulta.</w:t>
      </w:r>
    </w:p>
    <w:p w14:paraId="00000027">
      <w:pPr>
        <w:rPr/>
      </w:pPr>
      <w:r>
        <w:rPr>
          <w:rtl w:val="0"/>
        </w:rPr>
      </w:r>
    </w:p>
    <w:p w14:paraId="00000028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t>Conclusao central. Paridade deve preservar resultado funcional, nao transportar mixins, estado global ou filtragem integral em memoria para C++.</w:t>
      </w:r>
    </w:p>
    <w:p w14:paraId="00000029">
      <w:pPr>
        <w:pStyle w:val="Heading2"/>
        <w:rPr/>
      </w:pPr>
      <w:r>
        <w:t>Diferenciais confirmados</w:t>
      </w:r>
    </w:p>
    <w:bookmarkStart w:colFirst="0" w:colLast="0" w:name="bookmark=id.suv0vlq0gz4r" w:id="5"/>
    <w:bookmarkEnd w:id="5"/>
    <w:p w14:paraId="0000002A">
      <w:pPr>
        <w:pStyle w:val="Heading2"/>
        <w:rPr/>
      </w:pPr>
      <w:r>
        <w:t>Implicacoes</w:t>
      </w:r>
    </w:p>
    <w:p w14:paraId="0000002B">
      <w:pPr>
        <w:rPr/>
      </w:pPr>
      <w:r>
        <w:t>Portar tudo em ambos os sentidos criaria custo e risco desnecessarios. Itens P1 exigem decisao de produto: tri-state no Python; SAM API e carregar outro DB no C++. Itens estruturais, como SQL paginado, nao devem ser tratados como feature isolada.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3300"/>
        <w:gridCol w:w="4020"/>
        <w:tblGridChange w:id="0">
          <w:tblGrid>
            <w:gridCol w:w="1800"/>
            <w:gridCol w:w="3300"/>
            <w:gridCol w:w="4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b/>
              </w:rPr>
              <w:t>Tema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b/>
              </w:rPr>
              <w:t>Observacao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b/>
              </w:rPr>
              <w:t>Implicacao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b w:val="0"/>
              </w:rPr>
              <w:t>Cobertura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b w:val="0"/>
              </w:rPr>
              <w:t>42 funcionalidades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b w:val="0"/>
              </w:rPr>
              <w:t>23 equivalentes; 10 parciais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b w:val="0"/>
              </w:rPr>
              <w:t>Somente Python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b w:val="0"/>
              </w:rPr>
              <w:t>6 itens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b w:val="0"/>
              </w:rPr>
              <w:t>Maior amplitude operacional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b w:val="0"/>
              </w:rPr>
              <w:t>Somente C++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b w:val="0"/>
              </w:rPr>
              <w:t>3 itens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b w:val="0"/>
              </w:rPr>
              <w:t>UX e controle adicionais</w:t>
            </w:r>
          </w:p>
        </w:tc>
      </w:tr>
    </w:tbl>
    <w:bookmarkStart w:colFirst="0" w:colLast="0" w:name="bookmark=id.vvr4bduzzdc0" w:id="6"/>
    <w:bookmarkEnd w:id="6"/>
    <w:p w14:paraId="00000038">
      <w:pPr>
        <w:pStyle w:val="Heading1"/>
        <w:pageBreakBefore w:val="1"/>
        <w:rPr/>
      </w:pPr>
      <w:r>
        <w:t>Recomendacoes</w:t>
      </w:r>
    </w:p>
    <w:p w14:paraId="00000039">
      <w:pPr>
        <w:rPr/>
      </w:pPr>
      <w:r>
        <w:t>Usar a planilha como fonte de decisao. Antes de portar qualquer lacuna, fechar criterio de aceite, fluxo visual, ownership, erro, concorrencia e teste de contrato.</w:t>
      </w:r>
    </w:p>
    <w:p w14:paraId="0000003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t>Prioridade P1. Decidir se o ciclo tri-state com ! deve entrar no Python e se SAM API/outro DB pertencem ao produto C++.</w:t>
      </w:r>
    </w:p>
    <w:p w14:paraId="0000003B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t>Prioridade P2. Corrigir documento functional-coverage C++ em slice documental separado; ele ainda marca context menus como Missing/Partial apesar da implementacao.</w:t>
      </w:r>
    </w:p>
    <w:p w14:paraId="0000003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t>Validacao. Criar smokes visuais equivalentes com banco fixture e testes de I/O para exportacao de grafo antes de promover itens parciais a equivalentes.</w:t>
      </w:r>
    </w:p>
    <w:bookmarkStart w:colFirst="0" w:colLast="0" w:name="bookmark=id.rl3o3rp5qmnq" w:id="7"/>
    <w:bookmarkEnd w:id="7"/>
    <w:p w14:paraId="0000003D">
      <w:pPr>
        <w:pStyle w:val="Heading2"/>
        <w:rPr/>
      </w:pPr>
      <w:r>
        <w:t>Conclusao</w:t>
      </w:r>
    </w:p>
    <w:p w14:paraId="0000003E">
      <w:pPr>
        <w:rPr/>
      </w:pPr>
      <w:r>
        <w:t>PyQt6 continua mais amplo em operacao. C++ ja cobre o nucleo e adiciona UX e arquitetura proprias. O maior diferencial funcional comprovado do C++ e o ciclo de situacao que gera =CODE e !CODE pelo mesmo botao.</w:t>
      </w:r>
    </w:p>
    <w:p w14:paraId="0000003F">
      <w:pPr>
        <w:rPr/>
      </w:pPr>
      <w:r>
        <w:t>A planilha anexa contem 42 linhas de paridade, 36 funcoes/metodos Python, 39 funcoes/metodos C++, fluxos, evidencias, lacunas e glossario.</w:t>
      </w:r>
    </w:p>
    <w:bookmarkStart w:colFirst="0" w:colLast="0" w:name="bookmark=id.cf45595vup8a" w:id="8"/>
    <w:bookmarkEnd w:id="8"/>
    <w:p w14:paraId="00000040">
      <w:pPr>
        <w:pStyle w:val="Heading1"/>
        <w:pageBreakBefore w:val="1"/>
        <w:rPr/>
      </w:pPr>
      <w:r>
        <w:t>Apendice</w:t>
      </w:r>
    </w:p>
    <w:bookmarkStart w:colFirst="0" w:colLast="0" w:name="bookmark=id.ptrg31dozyqs" w:id="9"/>
    <w:bookmarkEnd w:id="9"/>
    <w:p w14:paraId="00000041">
      <w:pPr>
        <w:pStyle w:val="Heading2"/>
        <w:rPr/>
      </w:pPr>
      <w:r>
        <w:t>Notas de validacao</w:t>
      </w:r>
    </w:p>
    <w:p w14:paraId="00000042">
      <w:pPr>
        <w:rPr/>
      </w:pPr>
      <w:r>
        <w:t>Captura Python: runtime isolado, 1200x890, banco ausente. Valida superficie e layout vazio, nao comportamento com dados.</w:t>
      </w:r>
    </w:p>
    <w:p w14:paraId="00000043">
      <w:pPr>
        <w:rPr/>
      </w:pPr>
      <w:r>
        <w:t>Captura C++: build/dev com 94879 SSAs. Valida tabela, detalhes e filtros no macOS. Nao houve prova visual Windows, Linux ou arquiteturas adicionais.</w:t>
      </w:r>
    </w:p>
    <w:bookmarkStart w:colFirst="0" w:colLast="0" w:name="bookmark=id.nnk1eebni0ji" w:id="10"/>
    <w:bookmarkEnd w:id="10"/>
    <w:p w14:paraId="00000044">
      <w:pPr>
        <w:pStyle w:val="Heading2"/>
        <w:rPr/>
      </w:pPr>
      <w:r>
        <w:t>Fontes principais</w:t>
      </w:r>
    </w:p>
    <w:p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Python: main.py, gui/gui_ssa.py, gui/ssa, gui/workers, core, armazenamento e tests.</w:t>
      </w:r>
    </w:p>
    <w:p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C++: app/desktop/qml, src/presentation, src/query, src/application, src/infra e tests.</w:t>
      </w:r>
    </w:p>
    <w:p w14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Contrato C++: docs/contracts/functional-coverage.md e gui-behavior.md.</w:t>
      </w:r>
    </w:p>
    <w:p w14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Artefatos: LEVANTAMENTO_FUNCIONAL_PY_CPP.xlsx e DIAGRAMAS_FUNCIONAIS_PY_CPP.md.</w:t>
      </w:r>
    </w:p>
    <w:p w14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/>
      </w:pPr>
      <w:r>
        <w:rPr>
          <w:rtl w:val="0"/>
        </w:rPr>
      </w:r>
    </w:p>
    <w:p w14:paraId="0000004A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t>Nota: resultados exclusivos sao baseados em busca estatica dirigida e runtime disponivel. Revalidar no HEAD alvo antes de iniciar qualquer port.</w:t>
      </w:r>
    </w:p>
    <w:p>
      <w:r>
        <w:br w:type="page"/>
      </w:r>
    </w:p>
    <w:p>
      <w:pPr>
        <w:pStyle w:val="Heading1"/>
      </w:pPr>
      <w:r>
        <w:t>Matriz de lacunas priorizadas</w:t>
      </w:r>
    </w:p>
    <w:tbl>
      <w:tblPr>
        <w:tblStyle w:val="Table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Direcao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Python -&gt; C++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SAM API e auto refresh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Definir produto e ameacas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Python -&gt; C++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Carregar outro DB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Criar port/caso de uso se aprovado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Python -&gt; C++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Undo de filtros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Validar valor de UX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Python -&gt; C++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Consolidar entrada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Reusar import port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C++ -&gt; Python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Atalho tri-state com !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Preservar ciclo e resumo Exc: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C++ -&gt; Python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Preset JSON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Definir schema interoperavel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C++ -&gt; Python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Cancelar consulta visivel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Expor estado confiavel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C++ -&gt; Python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Densidade visual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P3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Medir necessidade</w:t>
            </w:r>
          </w:p>
        </w:tc>
      </w:tr>
    </w:tbl>
    <w:p>
      <w:pPr>
        <w:pStyle w:val="Heading2"/>
      </w:pPr>
      <w:r>
        <w:t>Evidencia visual Python/PyQt6</w:t>
      </w:r>
    </w:p>
    <w:p>
      <w:r>
        <w:t>Runtime isolado sem banco. A captura comprova composicao e estados vazios.</w:t>
      </w:r>
    </w:p>
    <w:p>
      <w:r>
        <w:drawing>
          <wp:inline>
            <wp:extent cx="6035040" cy="44759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a_pyqt6_inven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75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Pergunta de confianca</w:t>
      </w:r>
    </w:p>
    <w:p>
      <w:r>
        <w:t>Nao ha 100% de confianca sobre ausencia absoluta de funcoes exclusivas. Riscos residuais: controles internos sem UI, codigo legado nao conectado, diferencas de branch e falta de smoke multiplataforma. A matriz marca esses limites.</w:t>
      </w:r>
      <w:r>
        <w:br w:type="page"/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/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/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Relationship Id="rId6" Type="http://schemas.openxmlformats.org/officeDocument/2006/relationships/header" Target="header2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