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9751" w14:textId="227BB362" w:rsidR="0019564B" w:rsidRDefault="00674741" w:rsidP="00674741">
      <w:pPr>
        <w:rPr>
          <w:b/>
          <w:bCs/>
        </w:rPr>
      </w:pPr>
      <w:r>
        <w:rPr>
          <w:b/>
          <w:bCs/>
        </w:rPr>
        <w:t>Informational Theory of EU Law, Examining Legal Claims</w:t>
      </w:r>
    </w:p>
    <w:p w14:paraId="240B8E09" w14:textId="6171411F" w:rsidR="0019564B" w:rsidRPr="0019564B" w:rsidRDefault="0019564B" w:rsidP="00674741">
      <w:pPr>
        <w:rPr>
          <w:b/>
          <w:bCs/>
        </w:rPr>
      </w:pPr>
      <w:r>
        <w:rPr>
          <w:b/>
          <w:bCs/>
        </w:rPr>
        <w:t xml:space="preserve">Plaintiff </w:t>
      </w:r>
      <w:r w:rsidRPr="0019564B">
        <w:t>[</w:t>
      </w:r>
      <w:r>
        <w:t>“</w:t>
      </w:r>
      <w:r w:rsidRPr="0019564B">
        <w:t>ASSOCIAÇÃO SINDICAL DOS JUÍZES PORTUGUESES</w:t>
      </w:r>
      <w:r>
        <w:t>”]</w:t>
      </w:r>
    </w:p>
    <w:p w14:paraId="468CD301" w14:textId="423CDF8A" w:rsidR="00BA2EB2" w:rsidRDefault="0019564B" w:rsidP="00674741">
      <w:r w:rsidRPr="0019564B">
        <w:t>As the reason for these requests, it invokes the "illegality" of the contested acts, which should be "annulled" [article 135 of the CPA] , since the legal norms that they apply [article 27 of Law nº66-B/2012, of 31.12, which extended the validity of article 19 of Law nº55-A/2010, of 31.12, and 32º-A of the EMJ, added by the latter] are unconstitutional due to violation of the "statutory unity of the EMJ" [approved by Law nº21/1985, of 30.07] , and also for violation of the “principle of the independence of judges” [</w:t>
      </w:r>
      <w:r w:rsidRPr="0019564B">
        <w:rPr>
          <w:highlight w:val="cyan"/>
        </w:rPr>
        <w:t>articles 203 of the CRP</w:t>
      </w:r>
      <w:r w:rsidRPr="0019564B">
        <w:t xml:space="preserve">, </w:t>
      </w:r>
      <w:r w:rsidRPr="0019564B">
        <w:rPr>
          <w:highlight w:val="yellow"/>
        </w:rPr>
        <w:t>19 nº1 of the TEU</w:t>
      </w:r>
      <w:r w:rsidRPr="0019564B">
        <w:t xml:space="preserve">, </w:t>
      </w:r>
      <w:r w:rsidRPr="0019564B">
        <w:rPr>
          <w:highlight w:val="green"/>
        </w:rPr>
        <w:t>47 of the CDFUE</w:t>
      </w:r>
      <w:r w:rsidRPr="0019564B">
        <w:t>] .</w:t>
      </w:r>
    </w:p>
    <w:p w14:paraId="7F70BB8B" w14:textId="77777777" w:rsidR="00BA2EB2" w:rsidRDefault="00BA2EB2" w:rsidP="00BA2EB2">
      <w:pPr>
        <w:rPr>
          <w:b/>
          <w:bCs/>
        </w:rPr>
      </w:pPr>
      <w:r w:rsidRPr="00BA2EB2">
        <w:rPr>
          <w:b/>
          <w:bCs/>
        </w:rPr>
        <w:t>Plaintiff Legal Claim</w:t>
      </w:r>
      <w:r>
        <w:rPr>
          <w:b/>
          <w:bCs/>
        </w:rPr>
        <w:t>s</w:t>
      </w:r>
      <w:r w:rsidRPr="00BA2EB2">
        <w:rPr>
          <w:b/>
          <w:bCs/>
        </w:rPr>
        <w:t>:</w:t>
      </w:r>
    </w:p>
    <w:p w14:paraId="69DA64FF" w14:textId="6AC77089" w:rsidR="00BA2EB2" w:rsidRPr="00BA2EB2" w:rsidRDefault="00BA2EB2" w:rsidP="00BA2EB2">
      <w:pPr>
        <w:pStyle w:val="ListParagraph"/>
        <w:numPr>
          <w:ilvl w:val="0"/>
          <w:numId w:val="2"/>
        </w:numPr>
        <w:rPr>
          <w:b/>
          <w:bCs/>
        </w:rPr>
      </w:pPr>
      <w:r w:rsidRPr="00BA2EB2">
        <w:rPr>
          <w:highlight w:val="cyan"/>
        </w:rPr>
        <w:t>[§A203</w:t>
      </w:r>
      <w:proofErr w:type="gramStart"/>
      <w:r w:rsidRPr="00BA2EB2">
        <w:rPr>
          <w:highlight w:val="cyan"/>
        </w:rPr>
        <w:t>CPR]</w:t>
      </w:r>
      <w:r w:rsidRPr="00BA2EB2">
        <w:rPr>
          <w:highlight w:val="yellow"/>
        </w:rPr>
        <w:t>[</w:t>
      </w:r>
      <w:proofErr w:type="gramEnd"/>
      <w:r w:rsidRPr="00BA2EB2">
        <w:rPr>
          <w:highlight w:val="yellow"/>
        </w:rPr>
        <w:t>§A019TEU]</w:t>
      </w:r>
      <w:r w:rsidRPr="00BA2EB2">
        <w:rPr>
          <w:highlight w:val="green"/>
        </w:rPr>
        <w:t>[§A47CFR]</w:t>
      </w:r>
    </w:p>
    <w:p w14:paraId="57883755" w14:textId="7B1E2B44" w:rsidR="00674741" w:rsidRDefault="00303B44" w:rsidP="00674741">
      <w:pPr>
        <w:rPr>
          <w:b/>
          <w:bCs/>
        </w:rPr>
      </w:pPr>
      <w:r>
        <w:rPr>
          <w:b/>
          <w:bCs/>
        </w:rPr>
        <w:t>MS Court</w:t>
      </w:r>
      <w:r w:rsidR="0019564B">
        <w:rPr>
          <w:b/>
          <w:bCs/>
        </w:rPr>
        <w:t xml:space="preserve"> </w:t>
      </w:r>
      <w:r w:rsidR="0019564B" w:rsidRPr="0019564B">
        <w:t>[</w:t>
      </w:r>
      <w:r w:rsidR="0019564B">
        <w:t>“</w:t>
      </w:r>
      <w:r w:rsidR="0019564B" w:rsidRPr="0019564B">
        <w:t xml:space="preserve">Supremo Tribunal </w:t>
      </w:r>
      <w:proofErr w:type="spellStart"/>
      <w:r w:rsidR="0019564B" w:rsidRPr="0019564B">
        <w:t>Administrativo</w:t>
      </w:r>
      <w:proofErr w:type="spellEnd"/>
      <w:r w:rsidR="0019564B">
        <w:t>”</w:t>
      </w:r>
      <w:r w:rsidR="0019564B" w:rsidRPr="0019564B">
        <w:t>]</w:t>
      </w:r>
    </w:p>
    <w:p w14:paraId="6DBAE2BC" w14:textId="6E6298AE" w:rsidR="00303B44" w:rsidRDefault="00303B44" w:rsidP="00674741">
      <w:pPr>
        <w:rPr>
          <w:rFonts w:ascii="Open Sans" w:hAnsi="Open Sans" w:cs="Open Sans"/>
          <w:color w:val="000000"/>
          <w:sz w:val="18"/>
          <w:szCs w:val="18"/>
        </w:rPr>
      </w:pPr>
      <w:r>
        <w:rPr>
          <w:rFonts w:ascii="Open Sans" w:hAnsi="Open Sans" w:cs="Open Sans"/>
          <w:color w:val="000000"/>
          <w:sz w:val="18"/>
          <w:szCs w:val="18"/>
        </w:rPr>
        <w:t xml:space="preserve">In view of the mandatory requirements of eliminating the excessive budget deficit and of financial assistance regulated by EU rules, must the principle of judicial independence, enshrined in the second subparagraph of </w:t>
      </w:r>
      <w:r w:rsidRPr="00674741">
        <w:rPr>
          <w:rFonts w:ascii="Open Sans" w:hAnsi="Open Sans" w:cs="Open Sans"/>
          <w:color w:val="000000"/>
          <w:sz w:val="18"/>
          <w:szCs w:val="18"/>
          <w:highlight w:val="yellow"/>
        </w:rPr>
        <w:t>Article 19(1) TEU</w:t>
      </w:r>
      <w:r>
        <w:rPr>
          <w:rFonts w:ascii="Open Sans" w:hAnsi="Open Sans" w:cs="Open Sans"/>
          <w:color w:val="000000"/>
          <w:sz w:val="18"/>
          <w:szCs w:val="18"/>
        </w:rPr>
        <w:t xml:space="preserve">, </w:t>
      </w:r>
      <w:r w:rsidRPr="00674741">
        <w:rPr>
          <w:rFonts w:ascii="Open Sans" w:hAnsi="Open Sans" w:cs="Open Sans"/>
          <w:color w:val="000000"/>
          <w:sz w:val="18"/>
          <w:szCs w:val="18"/>
          <w:highlight w:val="green"/>
        </w:rPr>
        <w:t>in Article 47 of the Charter</w:t>
      </w:r>
      <w:r>
        <w:rPr>
          <w:rFonts w:ascii="Open Sans" w:hAnsi="Open Sans" w:cs="Open Sans"/>
          <w:color w:val="000000"/>
          <w:sz w:val="18"/>
          <w:szCs w:val="18"/>
        </w:rPr>
        <w:t xml:space="preserve"> of Fundamental Rights of the European Union </w:t>
      </w:r>
      <w:hyperlink r:id="rId5" w:anchor="1" w:history="1">
        <w:r>
          <w:rPr>
            <w:rStyle w:val="Hyperlink"/>
            <w:rFonts w:ascii="Open Sans" w:hAnsi="Open Sans" w:cs="Open Sans"/>
            <w:color w:val="006699"/>
            <w:sz w:val="18"/>
            <w:szCs w:val="18"/>
            <w:vertAlign w:val="superscript"/>
          </w:rPr>
          <w:t>1</w:t>
        </w:r>
      </w:hyperlink>
      <w:r>
        <w:rPr>
          <w:rFonts w:ascii="Open Sans" w:hAnsi="Open Sans" w:cs="Open Sans"/>
          <w:color w:val="000000"/>
          <w:sz w:val="18"/>
          <w:szCs w:val="18"/>
        </w:rPr>
        <w:t> and in the case-law of the Court of Justice, be interpreted as meaning that it precludes the measures to reduce remuneration that are applied to the judiciary in Portugal, where they are imposed unilaterally and on an ongoing basis by other constitutional authorities and bodies, as is the consequence of Article 2 of Law No 75/2014 of 12 September?</w:t>
      </w:r>
    </w:p>
    <w:p w14:paraId="1209A8FB" w14:textId="37F19895" w:rsidR="00BA2EB2" w:rsidRDefault="00BA2EB2" w:rsidP="00BA2EB2">
      <w:pPr>
        <w:ind w:firstLine="408"/>
        <w:rPr>
          <w:b/>
          <w:bCs/>
        </w:rPr>
      </w:pPr>
      <w:r>
        <w:rPr>
          <w:b/>
          <w:bCs/>
        </w:rPr>
        <w:t>MS Court Legal Claims</w:t>
      </w:r>
      <w:r w:rsidRPr="00BA2EB2">
        <w:rPr>
          <w:b/>
          <w:bCs/>
        </w:rPr>
        <w:t>:</w:t>
      </w:r>
    </w:p>
    <w:p w14:paraId="78AFF9A8" w14:textId="1E02AD9D" w:rsidR="00BA2EB2" w:rsidRPr="00BA2EB2" w:rsidRDefault="00BA2EB2" w:rsidP="00674741">
      <w:pPr>
        <w:pStyle w:val="ListParagraph"/>
        <w:numPr>
          <w:ilvl w:val="0"/>
          <w:numId w:val="2"/>
        </w:numPr>
        <w:rPr>
          <w:b/>
          <w:bCs/>
        </w:rPr>
      </w:pPr>
      <w:r w:rsidRPr="00BA2EB2">
        <w:rPr>
          <w:highlight w:val="yellow"/>
        </w:rPr>
        <w:t>[§A019TEU]</w:t>
      </w:r>
      <w:r w:rsidRPr="00BA2EB2">
        <w:rPr>
          <w:highlight w:val="green"/>
        </w:rPr>
        <w:t xml:space="preserve"> [§A47CFR]</w:t>
      </w:r>
    </w:p>
    <w:p w14:paraId="013912FF" w14:textId="4CB1C8BD" w:rsidR="00674741" w:rsidRPr="00BA2EB2" w:rsidRDefault="00674741" w:rsidP="00674741">
      <w:pPr>
        <w:rPr>
          <w:b/>
          <w:bCs/>
        </w:rPr>
      </w:pPr>
      <w:r>
        <w:rPr>
          <w:b/>
          <w:bCs/>
        </w:rPr>
        <w:t xml:space="preserve">ECJ </w:t>
      </w:r>
      <w:r w:rsidR="0074745D" w:rsidRPr="0074745D">
        <w:t>[</w:t>
      </w:r>
      <w:r w:rsidR="0074745D">
        <w:t>“</w:t>
      </w:r>
      <w:r w:rsidR="0074745D" w:rsidRPr="0074745D">
        <w:t>E</w:t>
      </w:r>
      <w:r w:rsidR="0074745D">
        <w:t>uropean Court of Justice”</w:t>
      </w:r>
      <w:r w:rsidR="0074745D" w:rsidRPr="0074745D">
        <w:t>]</w:t>
      </w:r>
      <w:r w:rsidR="00BA2EB2">
        <w:rPr>
          <w:b/>
          <w:bCs/>
        </w:rPr>
        <w:br/>
      </w:r>
      <w:r w:rsidRPr="00674741">
        <w:t>{Judgement}</w:t>
      </w:r>
    </w:p>
    <w:p w14:paraId="29B8290E" w14:textId="41AFA89D" w:rsidR="00674741" w:rsidRDefault="00674741" w:rsidP="00674741">
      <w:pPr>
        <w:pStyle w:val="c02alineaalta"/>
        <w:spacing w:before="0" w:beforeAutospacing="0" w:after="240" w:afterAutospacing="0"/>
        <w:jc w:val="both"/>
        <w:rPr>
          <w:rFonts w:ascii="Open Sans" w:hAnsi="Open Sans" w:cs="Open Sans"/>
          <w:color w:val="000000"/>
          <w:sz w:val="18"/>
          <w:szCs w:val="18"/>
        </w:rPr>
      </w:pPr>
      <w:r>
        <w:rPr>
          <w:rFonts w:ascii="Open Sans" w:hAnsi="Open Sans" w:cs="Open Sans"/>
          <w:color w:val="000000"/>
          <w:sz w:val="18"/>
          <w:szCs w:val="18"/>
        </w:rPr>
        <w:t xml:space="preserve">‘In view of the mandatory requirements of eliminating the excessive budget deficit and of financial assistance regulated by … rules [of EU law], must the principle of judicial independence, enshrined in the second subparagraph of </w:t>
      </w:r>
      <w:r w:rsidRPr="00674741">
        <w:rPr>
          <w:rFonts w:ascii="Open Sans" w:hAnsi="Open Sans" w:cs="Open Sans"/>
          <w:color w:val="000000"/>
          <w:sz w:val="18"/>
          <w:szCs w:val="18"/>
          <w:highlight w:val="yellow"/>
        </w:rPr>
        <w:t>Article 19(1) TEU</w:t>
      </w:r>
      <w:r>
        <w:rPr>
          <w:rFonts w:ascii="Open Sans" w:hAnsi="Open Sans" w:cs="Open Sans"/>
          <w:color w:val="000000"/>
          <w:sz w:val="18"/>
          <w:szCs w:val="18"/>
        </w:rPr>
        <w:t xml:space="preserve">, in </w:t>
      </w:r>
      <w:r w:rsidRPr="00674741">
        <w:rPr>
          <w:rFonts w:ascii="Open Sans" w:hAnsi="Open Sans" w:cs="Open Sans"/>
          <w:color w:val="000000"/>
          <w:sz w:val="18"/>
          <w:szCs w:val="18"/>
          <w:highlight w:val="green"/>
        </w:rPr>
        <w:t>Article 47 of the [Charter]</w:t>
      </w:r>
      <w:r>
        <w:rPr>
          <w:rFonts w:ascii="Open Sans" w:hAnsi="Open Sans" w:cs="Open Sans"/>
          <w:color w:val="000000"/>
          <w:sz w:val="18"/>
          <w:szCs w:val="18"/>
        </w:rPr>
        <w:t xml:space="preserve"> and in the case-law of the Court of Justice, be interpreted as meaning that it precludes the measures to reduce remuneration that are applied to the judiciary in Portugal, where they are imposed unilaterally and on an ongoing basis by other constitutional authorities and bodies, as is the consequence of Article 2 of Law [No 75/2014]?’</w:t>
      </w:r>
    </w:p>
    <w:p w14:paraId="0C36B26C" w14:textId="779F26DD" w:rsidR="00BA2EB2" w:rsidRPr="00BA2EB2" w:rsidRDefault="00BA2EB2" w:rsidP="00BA2EB2">
      <w:pPr>
        <w:ind w:firstLine="408"/>
        <w:rPr>
          <w:b/>
          <w:bCs/>
        </w:rPr>
      </w:pPr>
      <w:r w:rsidRPr="00BA2EB2">
        <w:rPr>
          <w:b/>
          <w:bCs/>
        </w:rPr>
        <w:t>ECJ Admitted Legal Claims:</w:t>
      </w:r>
    </w:p>
    <w:p w14:paraId="2C9742AD" w14:textId="75563AF7" w:rsidR="00D648C5" w:rsidRPr="00296A52" w:rsidRDefault="00BA2EB2" w:rsidP="00296A52">
      <w:pPr>
        <w:pStyle w:val="ListParagraph"/>
        <w:numPr>
          <w:ilvl w:val="0"/>
          <w:numId w:val="2"/>
        </w:numPr>
        <w:rPr>
          <w:b/>
          <w:bCs/>
        </w:rPr>
      </w:pPr>
      <w:r w:rsidRPr="00BA2EB2">
        <w:rPr>
          <w:highlight w:val="yellow"/>
        </w:rPr>
        <w:t>[§A019TEU]</w:t>
      </w:r>
      <w:r w:rsidRPr="00BA2EB2">
        <w:rPr>
          <w:highlight w:val="green"/>
        </w:rPr>
        <w:t xml:space="preserve"> [§A47CFR]</w:t>
      </w:r>
    </w:p>
    <w:p w14:paraId="60ED5F25" w14:textId="77777777" w:rsidR="00D648C5" w:rsidRPr="00D648C5" w:rsidRDefault="00D648C5" w:rsidP="00D648C5">
      <w:pPr>
        <w:rPr>
          <w:rFonts w:ascii="Open Sans" w:eastAsia="Times New Roman" w:hAnsi="Open Sans" w:cs="Open Sans"/>
          <w:color w:val="000000"/>
          <w:sz w:val="18"/>
          <w:szCs w:val="18"/>
          <w14:ligatures w14:val="none"/>
        </w:rPr>
      </w:pPr>
      <w:r w:rsidRPr="00D648C5">
        <w:rPr>
          <w:rFonts w:ascii="Open Sans" w:eastAsia="Times New Roman" w:hAnsi="Open Sans" w:cs="Open Sans"/>
          <w:color w:val="000000"/>
          <w:sz w:val="18"/>
          <w:szCs w:val="18"/>
          <w14:ligatures w14:val="none"/>
        </w:rPr>
        <w:t xml:space="preserve">30      According to Article 2 TEU, the European Union is founded on values, such as the rule of law, which are common to the Member States in a society in which, inter alia, justice prevails. In that regard, it should be noted that mutual trust between the Member States and, in particular, their courts and tribunals is based on the fundamental </w:t>
      </w:r>
      <w:proofErr w:type="spellStart"/>
      <w:r w:rsidRPr="00D648C5">
        <w:rPr>
          <w:rFonts w:ascii="Open Sans" w:eastAsia="Times New Roman" w:hAnsi="Open Sans" w:cs="Open Sans"/>
          <w:color w:val="000000"/>
          <w:sz w:val="18"/>
          <w:szCs w:val="18"/>
          <w14:ligatures w14:val="none"/>
        </w:rPr>
        <w:t>premiss</w:t>
      </w:r>
      <w:proofErr w:type="spellEnd"/>
      <w:r w:rsidRPr="00D648C5">
        <w:rPr>
          <w:rFonts w:ascii="Open Sans" w:eastAsia="Times New Roman" w:hAnsi="Open Sans" w:cs="Open Sans"/>
          <w:color w:val="000000"/>
          <w:sz w:val="18"/>
          <w:szCs w:val="18"/>
          <w14:ligatures w14:val="none"/>
        </w:rPr>
        <w:t xml:space="preserve"> that Member States share a set of common values on which the European Union is founded, as stated in Article 2 TEU (see, to that effect, Opinion 2/13 (Accession of the European Union to the ECHR), of 18 December 2014, EU:C:2014:2454, paragraph 168).</w:t>
      </w:r>
    </w:p>
    <w:p w14:paraId="79C01909" w14:textId="1D17940C" w:rsidR="00BA2EB2" w:rsidRDefault="00BA2EB2" w:rsidP="00674741">
      <w:pPr>
        <w:pStyle w:val="c02alineaalta"/>
        <w:spacing w:before="0" w:beforeAutospacing="0" w:after="240" w:afterAutospacing="0"/>
        <w:jc w:val="both"/>
        <w:rPr>
          <w:rFonts w:ascii="Open Sans" w:hAnsi="Open Sans" w:cs="Open Sans"/>
          <w:color w:val="000000"/>
          <w:sz w:val="18"/>
          <w:szCs w:val="18"/>
        </w:rPr>
      </w:pPr>
      <w:r>
        <w:rPr>
          <w:rFonts w:ascii="Open Sans" w:hAnsi="Open Sans" w:cs="Open Sans"/>
          <w:color w:val="000000"/>
          <w:sz w:val="18"/>
          <w:szCs w:val="18"/>
        </w:rPr>
        <w:br/>
      </w:r>
      <w:r w:rsidRPr="00BA2EB2">
        <w:rPr>
          <w:rFonts w:ascii="Open Sans" w:hAnsi="Open Sans" w:cs="Open Sans"/>
          <w:color w:val="000000"/>
          <w:sz w:val="18"/>
          <w:szCs w:val="18"/>
        </w:rPr>
        <w:t>3</w:t>
      </w:r>
      <w:r w:rsidR="00D648C5">
        <w:rPr>
          <w:rFonts w:ascii="Open Sans" w:hAnsi="Open Sans" w:cs="Open Sans"/>
          <w:color w:val="000000"/>
          <w:sz w:val="18"/>
          <w:szCs w:val="18"/>
        </w:rPr>
        <w:t>5</w:t>
      </w:r>
      <w:r>
        <w:rPr>
          <w:rFonts w:ascii="Open Sans" w:hAnsi="Open Sans" w:cs="Open Sans"/>
          <w:color w:val="000000"/>
          <w:sz w:val="18"/>
          <w:szCs w:val="18"/>
        </w:rPr>
        <w:t xml:space="preserve"> </w:t>
      </w:r>
      <w:r w:rsidRPr="00BA2EB2">
        <w:rPr>
          <w:rFonts w:ascii="Open Sans" w:hAnsi="Open Sans" w:cs="Open Sans"/>
          <w:color w:val="000000"/>
          <w:sz w:val="18"/>
          <w:szCs w:val="18"/>
        </w:rPr>
        <w:t xml:space="preserve"> The principle of the effective judicial protection of individuals’ rights under EU law, referred to in the second subparagraph of </w:t>
      </w:r>
      <w:r w:rsidRPr="00BA2EB2">
        <w:rPr>
          <w:rFonts w:ascii="Open Sans" w:hAnsi="Open Sans" w:cs="Open Sans"/>
          <w:color w:val="000000"/>
          <w:sz w:val="18"/>
          <w:szCs w:val="18"/>
          <w:highlight w:val="yellow"/>
        </w:rPr>
        <w:t>Article 19(1) TEU</w:t>
      </w:r>
      <w:r w:rsidRPr="00BA2EB2">
        <w:rPr>
          <w:rFonts w:ascii="Open Sans" w:hAnsi="Open Sans" w:cs="Open Sans"/>
          <w:color w:val="000000"/>
          <w:sz w:val="18"/>
          <w:szCs w:val="18"/>
        </w:rPr>
        <w:t xml:space="preserve">, is a general principle of EU law stemming from the constitutional traditions common to the Member States, which has been enshrined in </w:t>
      </w:r>
      <w:r w:rsidRPr="00BA2EB2">
        <w:rPr>
          <w:rFonts w:ascii="Open Sans" w:hAnsi="Open Sans" w:cs="Open Sans"/>
          <w:color w:val="000000"/>
          <w:sz w:val="18"/>
          <w:szCs w:val="18"/>
          <w:highlight w:val="magenta"/>
        </w:rPr>
        <w:t>Articles 6</w:t>
      </w:r>
      <w:r w:rsidRPr="00BA2EB2">
        <w:rPr>
          <w:rFonts w:ascii="Open Sans" w:hAnsi="Open Sans" w:cs="Open Sans"/>
          <w:color w:val="000000"/>
          <w:sz w:val="18"/>
          <w:szCs w:val="18"/>
        </w:rPr>
        <w:t xml:space="preserve"> and </w:t>
      </w:r>
      <w:r w:rsidRPr="00BA2EB2">
        <w:rPr>
          <w:rFonts w:ascii="Open Sans" w:hAnsi="Open Sans" w:cs="Open Sans"/>
          <w:color w:val="000000"/>
          <w:sz w:val="18"/>
          <w:szCs w:val="18"/>
          <w:highlight w:val="darkCyan"/>
        </w:rPr>
        <w:t>13</w:t>
      </w:r>
      <w:r w:rsidRPr="00BA2EB2">
        <w:rPr>
          <w:rFonts w:ascii="Open Sans" w:hAnsi="Open Sans" w:cs="Open Sans"/>
          <w:color w:val="000000"/>
          <w:sz w:val="18"/>
          <w:szCs w:val="18"/>
        </w:rPr>
        <w:t xml:space="preserve"> of the European Convention for </w:t>
      </w:r>
      <w:r w:rsidRPr="00BA2EB2">
        <w:rPr>
          <w:rFonts w:ascii="Open Sans" w:hAnsi="Open Sans" w:cs="Open Sans"/>
          <w:color w:val="000000"/>
          <w:sz w:val="18"/>
          <w:szCs w:val="18"/>
        </w:rPr>
        <w:lastRenderedPageBreak/>
        <w:t xml:space="preserve">the Protection of Human Rights and Fundamental Freedoms, signed in Rome on 4 November 1950, and which is now reaffirmed by </w:t>
      </w:r>
      <w:r w:rsidRPr="00BA2EB2">
        <w:rPr>
          <w:rFonts w:ascii="Open Sans" w:hAnsi="Open Sans" w:cs="Open Sans"/>
          <w:color w:val="000000"/>
          <w:sz w:val="18"/>
          <w:szCs w:val="18"/>
          <w:highlight w:val="green"/>
        </w:rPr>
        <w:t>Article 47 of the Charter</w:t>
      </w:r>
      <w:r w:rsidRPr="00BA2EB2">
        <w:rPr>
          <w:rFonts w:ascii="Open Sans" w:hAnsi="Open Sans" w:cs="Open Sans"/>
          <w:color w:val="000000"/>
          <w:sz w:val="18"/>
          <w:szCs w:val="18"/>
        </w:rPr>
        <w:t xml:space="preserve"> (see, to that effect, judgments of 13 March 2007, Unibet, C</w:t>
      </w:r>
      <w:r w:rsidRPr="00BA2EB2">
        <w:rPr>
          <w:rFonts w:ascii="Cambria Math" w:hAnsi="Cambria Math" w:cs="Cambria Math"/>
          <w:color w:val="000000"/>
          <w:sz w:val="18"/>
          <w:szCs w:val="18"/>
        </w:rPr>
        <w:t>‑</w:t>
      </w:r>
      <w:r w:rsidRPr="00BA2EB2">
        <w:rPr>
          <w:rFonts w:ascii="Open Sans" w:hAnsi="Open Sans" w:cs="Open Sans"/>
          <w:color w:val="000000"/>
          <w:sz w:val="18"/>
          <w:szCs w:val="18"/>
        </w:rPr>
        <w:t>432/05, EU:C:2007:163, paragraph 37, and of 22 December 2010, DEB, C</w:t>
      </w:r>
      <w:r w:rsidRPr="00BA2EB2">
        <w:rPr>
          <w:rFonts w:ascii="Cambria Math" w:hAnsi="Cambria Math" w:cs="Cambria Math"/>
          <w:color w:val="000000"/>
          <w:sz w:val="18"/>
          <w:szCs w:val="18"/>
        </w:rPr>
        <w:t>‑</w:t>
      </w:r>
      <w:r w:rsidRPr="00BA2EB2">
        <w:rPr>
          <w:rFonts w:ascii="Open Sans" w:hAnsi="Open Sans" w:cs="Open Sans"/>
          <w:color w:val="000000"/>
          <w:sz w:val="18"/>
          <w:szCs w:val="18"/>
        </w:rPr>
        <w:t>279/09, EU:C:2010:811, paragraphs 29 to 33).</w:t>
      </w:r>
    </w:p>
    <w:p w14:paraId="7E9D6DD2" w14:textId="46615083" w:rsidR="00BA2EB2" w:rsidRDefault="00BA2EB2" w:rsidP="00BA2EB2">
      <w:pPr>
        <w:ind w:firstLine="408"/>
        <w:rPr>
          <w:b/>
          <w:bCs/>
        </w:rPr>
      </w:pPr>
      <w:r>
        <w:rPr>
          <w:b/>
          <w:bCs/>
        </w:rPr>
        <w:t>ECJ Legal Reasoning</w:t>
      </w:r>
      <w:r w:rsidRPr="00BA2EB2">
        <w:rPr>
          <w:b/>
          <w:bCs/>
        </w:rPr>
        <w:t>:</w:t>
      </w:r>
    </w:p>
    <w:p w14:paraId="402C2762" w14:textId="6151F4F6" w:rsidR="00D648C5" w:rsidRPr="00D648C5" w:rsidRDefault="00D648C5" w:rsidP="00D648C5">
      <w:pPr>
        <w:pStyle w:val="ListParagraph"/>
        <w:numPr>
          <w:ilvl w:val="0"/>
          <w:numId w:val="2"/>
        </w:numPr>
        <w:rPr>
          <w:b/>
          <w:bCs/>
        </w:rPr>
      </w:pPr>
      <w:r w:rsidRPr="00D648C5">
        <w:rPr>
          <w:highlight w:val="red"/>
        </w:rPr>
        <w:t>[§A002TEU]</w:t>
      </w:r>
    </w:p>
    <w:p w14:paraId="4E49301E" w14:textId="73628590" w:rsidR="00BA2EB2" w:rsidRPr="00BA2EB2" w:rsidRDefault="00BA2EB2" w:rsidP="00BA2EB2">
      <w:pPr>
        <w:pStyle w:val="ListParagraph"/>
        <w:numPr>
          <w:ilvl w:val="0"/>
          <w:numId w:val="2"/>
        </w:numPr>
        <w:rPr>
          <w:b/>
          <w:bCs/>
        </w:rPr>
      </w:pPr>
      <w:r w:rsidRPr="00BA2EB2">
        <w:rPr>
          <w:highlight w:val="yellow"/>
        </w:rPr>
        <w:t>[§A019</w:t>
      </w:r>
      <w:proofErr w:type="gramStart"/>
      <w:r w:rsidRPr="00BA2EB2">
        <w:rPr>
          <w:highlight w:val="yellow"/>
        </w:rPr>
        <w:t>TEU]</w:t>
      </w:r>
      <w:r w:rsidRPr="00BA2EB2">
        <w:rPr>
          <w:highlight w:val="magenta"/>
        </w:rPr>
        <w:t>[</w:t>
      </w:r>
      <w:proofErr w:type="gramEnd"/>
      <w:r w:rsidRPr="00BA2EB2">
        <w:rPr>
          <w:highlight w:val="magenta"/>
        </w:rPr>
        <w:t>A006ECHR]</w:t>
      </w:r>
      <w:r w:rsidRPr="00BA2EB2">
        <w:rPr>
          <w:highlight w:val="darkCyan"/>
        </w:rPr>
        <w:t xml:space="preserve">[A006ECHR] </w:t>
      </w:r>
      <w:r w:rsidRPr="00BA2EB2">
        <w:rPr>
          <w:highlight w:val="green"/>
        </w:rPr>
        <w:t>[§A47CFR]</w:t>
      </w:r>
    </w:p>
    <w:p w14:paraId="15D48029" w14:textId="1BF53C14" w:rsidR="00303B44" w:rsidRDefault="00674741">
      <w:r w:rsidRPr="00674741">
        <w:t>{</w:t>
      </w:r>
      <w:r>
        <w:t xml:space="preserve">Operative </w:t>
      </w:r>
      <w:r w:rsidRPr="00674741">
        <w:t>Judgement}</w:t>
      </w:r>
    </w:p>
    <w:p w14:paraId="261E7E90" w14:textId="17F87CA7" w:rsidR="00BA2EB2" w:rsidRDefault="00BA2EB2" w:rsidP="00BA2EB2">
      <w:pPr>
        <w:rPr>
          <w:b/>
          <w:bCs/>
        </w:rPr>
      </w:pPr>
      <w:r w:rsidRPr="00BA2EB2">
        <w:rPr>
          <w:b/>
          <w:bCs/>
        </w:rPr>
        <w:t>ECJ</w:t>
      </w:r>
      <w:r>
        <w:rPr>
          <w:b/>
          <w:bCs/>
        </w:rPr>
        <w:t xml:space="preserve"> Adjudicated Legal Claims</w:t>
      </w:r>
    </w:p>
    <w:p w14:paraId="26DB6337" w14:textId="208AC984" w:rsidR="00BA2EB2" w:rsidRPr="00BA2EB2" w:rsidRDefault="00BA2EB2" w:rsidP="00BA2EB2">
      <w:pPr>
        <w:pStyle w:val="ListParagraph"/>
        <w:numPr>
          <w:ilvl w:val="0"/>
          <w:numId w:val="6"/>
        </w:numPr>
        <w:rPr>
          <w:b/>
          <w:bCs/>
        </w:rPr>
      </w:pPr>
      <w:r w:rsidRPr="00BA2EB2">
        <w:rPr>
          <w:highlight w:val="yellow"/>
        </w:rPr>
        <w:t>[§A019TEU]</w:t>
      </w:r>
    </w:p>
    <w:p w14:paraId="13F4ED9B" w14:textId="729FD2B8" w:rsidR="0017784D" w:rsidRPr="003F59D1" w:rsidRDefault="00674741" w:rsidP="003F59D1">
      <w:pPr>
        <w:pStyle w:val="NormalWeb"/>
        <w:rPr>
          <w:rFonts w:ascii="Open Sans" w:hAnsi="Open Sans" w:cs="Open Sans"/>
          <w:color w:val="000000"/>
          <w:sz w:val="18"/>
          <w:szCs w:val="18"/>
        </w:rPr>
      </w:pPr>
      <w:r>
        <w:rPr>
          <w:rFonts w:ascii="Open Sans" w:hAnsi="Open Sans" w:cs="Open Sans"/>
          <w:color w:val="000000"/>
          <w:sz w:val="18"/>
          <w:szCs w:val="18"/>
        </w:rPr>
        <w:t xml:space="preserve">The second subparagraph of </w:t>
      </w:r>
      <w:r w:rsidRPr="00674741">
        <w:rPr>
          <w:rFonts w:ascii="Open Sans" w:hAnsi="Open Sans" w:cs="Open Sans"/>
          <w:color w:val="000000"/>
          <w:sz w:val="18"/>
          <w:szCs w:val="18"/>
          <w:highlight w:val="yellow"/>
        </w:rPr>
        <w:t>Article 19(1) TEU</w:t>
      </w:r>
      <w:r>
        <w:rPr>
          <w:rFonts w:ascii="Open Sans" w:hAnsi="Open Sans" w:cs="Open Sans"/>
          <w:color w:val="000000"/>
          <w:sz w:val="18"/>
          <w:szCs w:val="18"/>
        </w:rPr>
        <w:t xml:space="preserve"> must be interpreted as meaning that the principle of judicial independence does not preclude general salary-reduction measures, such as those at issue in the main proceedings, linked to requirements to eliminate an excessive budget deficit and to an EU financial assistance </w:t>
      </w:r>
      <w:proofErr w:type="spellStart"/>
      <w:r>
        <w:rPr>
          <w:rFonts w:ascii="Open Sans" w:hAnsi="Open Sans" w:cs="Open Sans"/>
          <w:color w:val="000000"/>
          <w:sz w:val="18"/>
          <w:szCs w:val="18"/>
        </w:rPr>
        <w:t>programme</w:t>
      </w:r>
      <w:proofErr w:type="spellEnd"/>
      <w:r>
        <w:rPr>
          <w:rFonts w:ascii="Open Sans" w:hAnsi="Open Sans" w:cs="Open Sans"/>
          <w:color w:val="000000"/>
          <w:sz w:val="18"/>
          <w:szCs w:val="18"/>
        </w:rPr>
        <w:t xml:space="preserve">, from being applied to the members of the Tribunal de </w:t>
      </w:r>
      <w:proofErr w:type="spellStart"/>
      <w:r>
        <w:rPr>
          <w:rFonts w:ascii="Open Sans" w:hAnsi="Open Sans" w:cs="Open Sans"/>
          <w:color w:val="000000"/>
          <w:sz w:val="18"/>
          <w:szCs w:val="18"/>
        </w:rPr>
        <w:t>Contas</w:t>
      </w:r>
      <w:proofErr w:type="spellEnd"/>
      <w:r>
        <w:rPr>
          <w:rFonts w:ascii="Open Sans" w:hAnsi="Open Sans" w:cs="Open Sans"/>
          <w:color w:val="000000"/>
          <w:sz w:val="18"/>
          <w:szCs w:val="18"/>
        </w:rPr>
        <w:t xml:space="preserve"> (Court of Auditors, Portugal).</w:t>
      </w:r>
    </w:p>
    <w:p w14:paraId="36072DE4" w14:textId="77777777" w:rsidR="0017784D" w:rsidRDefault="0017784D" w:rsidP="0017784D">
      <w:pPr>
        <w:rPr>
          <w:b/>
          <w:bCs/>
        </w:rPr>
      </w:pPr>
      <w:r>
        <w:rPr>
          <w:b/>
          <w:bCs/>
        </w:rPr>
        <w:t xml:space="preserve">MS Court </w:t>
      </w:r>
      <w:r w:rsidRPr="0019564B">
        <w:t>[</w:t>
      </w:r>
      <w:r>
        <w:t>“</w:t>
      </w:r>
      <w:r w:rsidRPr="0019564B">
        <w:t xml:space="preserve">Supremo Tribunal </w:t>
      </w:r>
      <w:proofErr w:type="spellStart"/>
      <w:r w:rsidRPr="0019564B">
        <w:t>Administrativo</w:t>
      </w:r>
      <w:proofErr w:type="spellEnd"/>
      <w:r>
        <w:t>”</w:t>
      </w:r>
      <w:r w:rsidRPr="0019564B">
        <w:t>]</w:t>
      </w:r>
    </w:p>
    <w:p w14:paraId="1F0EAEC9" w14:textId="1C78F9AD" w:rsidR="0017784D" w:rsidRPr="0017784D" w:rsidRDefault="0017784D">
      <w:r w:rsidRPr="0017784D">
        <w:t>{</w:t>
      </w:r>
      <w:r>
        <w:t>Judgement</w:t>
      </w:r>
      <w:r w:rsidRPr="0017784D">
        <w:t>}</w:t>
      </w:r>
    </w:p>
    <w:p w14:paraId="0A121AC8" w14:textId="7A29B407" w:rsidR="0017784D" w:rsidRPr="0017784D" w:rsidRDefault="0017784D" w:rsidP="0017784D">
      <w:r w:rsidRPr="0017784D">
        <w:t>Since this appreciation is perfectly adaptable to the assessment of the "salary reductions" of the members of the Court of Auditors, represented by the plaintiff association, in view of the "independence of judges" as guaranteed in the Constitution of the Portuguese Republic [Article 203 of the Portuguese Constitution], we reiterate it here for this purpose, concluding in the same sense, namely, that "the principle of judicial independence does not oppose the application of general salary reduction measures to the members of the Court of Auditors, such as those applied to their earnings in the year 2013, associated with imperatives of eliminating an excessive budget deficit and a financial assistance program from the European Union."</w:t>
      </w:r>
    </w:p>
    <w:p w14:paraId="644BEE77" w14:textId="739A1BCE" w:rsidR="0017784D" w:rsidRDefault="0017784D" w:rsidP="0017784D">
      <w:r w:rsidRPr="0017784D">
        <w:t>We do not see that judicial independence has, in our Constitution, a higher level of protection, or denser, than that obtained in the TUE and CDFUE.</w:t>
      </w:r>
    </w:p>
    <w:p w14:paraId="1205CD9F" w14:textId="77777777" w:rsidR="002414CE" w:rsidRDefault="002414CE" w:rsidP="002414CE">
      <w:r w:rsidRPr="00674741">
        <w:t>{</w:t>
      </w:r>
      <w:r>
        <w:t xml:space="preserve">Operative </w:t>
      </w:r>
      <w:r w:rsidRPr="00674741">
        <w:t>Judgement}</w:t>
      </w:r>
    </w:p>
    <w:p w14:paraId="78AAB45C" w14:textId="47D619D8" w:rsidR="000A09C0" w:rsidRPr="000A09C0" w:rsidRDefault="002414CE">
      <w:r w:rsidRPr="002414CE">
        <w:t>In these terms, we decided to dismiss the action and absolve the Court of Auditors of the request.</w:t>
      </w:r>
    </w:p>
    <w:p w14:paraId="52CFA1E6" w14:textId="6B705646" w:rsidR="00BA2EB2" w:rsidRPr="00593DE8" w:rsidRDefault="00BA2EB2">
      <w:pPr>
        <w:rPr>
          <w:b/>
          <w:bCs/>
          <w:sz w:val="24"/>
          <w:szCs w:val="24"/>
        </w:rPr>
      </w:pPr>
      <w:r w:rsidRPr="00593DE8">
        <w:rPr>
          <w:b/>
          <w:bCs/>
          <w:sz w:val="24"/>
          <w:szCs w:val="24"/>
        </w:rPr>
        <w:t>L</w:t>
      </w:r>
      <w:r w:rsidR="00D648C5" w:rsidRPr="00593DE8">
        <w:rPr>
          <w:b/>
          <w:bCs/>
          <w:sz w:val="24"/>
          <w:szCs w:val="24"/>
        </w:rPr>
        <w:t>ex Wide Association Study L</w:t>
      </w:r>
      <w:r w:rsidR="00296A52" w:rsidRPr="00593DE8">
        <w:rPr>
          <w:b/>
          <w:bCs/>
          <w:sz w:val="24"/>
          <w:szCs w:val="24"/>
        </w:rPr>
        <w:t>WAS</w:t>
      </w:r>
    </w:p>
    <w:p w14:paraId="4D7F11C5" w14:textId="66D06BAB" w:rsidR="003A7B61" w:rsidRDefault="00BA2EB2" w:rsidP="003A7B61">
      <w:pPr>
        <w:rPr>
          <w:b/>
          <w:bCs/>
        </w:rPr>
      </w:pPr>
      <w:r w:rsidRPr="00D648C5">
        <w:rPr>
          <w:b/>
          <w:bCs/>
        </w:rPr>
        <w:t>Plaintiff:</w:t>
      </w:r>
      <w:r w:rsidRPr="00D648C5">
        <w:rPr>
          <w:b/>
          <w:bCs/>
        </w:rPr>
        <w:tab/>
      </w:r>
      <w:r w:rsidRPr="00D648C5">
        <w:rPr>
          <w:highlight w:val="cyan"/>
        </w:rPr>
        <w:t>[§A203</w:t>
      </w:r>
      <w:proofErr w:type="gramStart"/>
      <w:r w:rsidRPr="00D648C5">
        <w:rPr>
          <w:highlight w:val="cyan"/>
        </w:rPr>
        <w:t>CPR]</w:t>
      </w:r>
      <w:r w:rsidRPr="00D648C5">
        <w:rPr>
          <w:highlight w:val="yellow"/>
        </w:rPr>
        <w:t>[</w:t>
      </w:r>
      <w:proofErr w:type="gramEnd"/>
      <w:r w:rsidRPr="00D648C5">
        <w:rPr>
          <w:highlight w:val="yellow"/>
        </w:rPr>
        <w:t>§A019TEU]</w:t>
      </w:r>
      <w:r w:rsidRPr="00D648C5">
        <w:rPr>
          <w:highlight w:val="green"/>
        </w:rPr>
        <w:t>[§A47CFR]</w:t>
      </w:r>
      <w:r w:rsidRPr="00D648C5">
        <w:rPr>
          <w:b/>
          <w:bCs/>
        </w:rPr>
        <w:br/>
        <w:t xml:space="preserve">MS Court: </w:t>
      </w:r>
      <w:r w:rsidRPr="00D648C5">
        <w:rPr>
          <w:b/>
          <w:bCs/>
        </w:rPr>
        <w:tab/>
      </w:r>
      <w:r w:rsidRPr="00D648C5">
        <w:rPr>
          <w:highlight w:val="yellow"/>
        </w:rPr>
        <w:t>[§A019TEU]</w:t>
      </w:r>
      <w:r w:rsidRPr="00D648C5">
        <w:rPr>
          <w:highlight w:val="green"/>
        </w:rPr>
        <w:t xml:space="preserve"> [§A47CFR]</w:t>
      </w:r>
      <w:r>
        <w:br/>
      </w:r>
      <w:r w:rsidRPr="00D648C5">
        <w:rPr>
          <w:b/>
          <w:bCs/>
        </w:rPr>
        <w:t>ECJ Admitted</w:t>
      </w:r>
      <w:r w:rsidRPr="00BA2EB2">
        <w:t>:</w:t>
      </w:r>
      <w:r w:rsidRPr="00BA2EB2">
        <w:tab/>
      </w:r>
      <w:r w:rsidRPr="00D648C5">
        <w:rPr>
          <w:highlight w:val="yellow"/>
        </w:rPr>
        <w:t>[§A019TEU]</w:t>
      </w:r>
      <w:r w:rsidRPr="00D648C5">
        <w:rPr>
          <w:highlight w:val="green"/>
        </w:rPr>
        <w:t xml:space="preserve"> [§A47CFR]</w:t>
      </w:r>
      <w:r>
        <w:br/>
      </w:r>
      <w:r w:rsidRPr="00D648C5">
        <w:rPr>
          <w:b/>
          <w:bCs/>
        </w:rPr>
        <w:t xml:space="preserve">ECJ Reasoning: </w:t>
      </w:r>
      <w:r w:rsidRPr="00D648C5">
        <w:rPr>
          <w:b/>
          <w:bCs/>
        </w:rPr>
        <w:tab/>
      </w:r>
      <w:r w:rsidR="00D648C5" w:rsidRPr="00D648C5">
        <w:rPr>
          <w:highlight w:val="red"/>
        </w:rPr>
        <w:t>[§A002TEU]</w:t>
      </w:r>
      <w:r w:rsidR="00D648C5">
        <w:rPr>
          <w:b/>
          <w:bCs/>
        </w:rPr>
        <w:t xml:space="preserve"> </w:t>
      </w:r>
      <w:r w:rsidR="00D648C5">
        <w:t>+</w:t>
      </w:r>
      <w:r w:rsidR="00D648C5" w:rsidRPr="00D648C5">
        <w:t xml:space="preserve"> </w:t>
      </w:r>
      <w:r w:rsidRPr="00BA2EB2">
        <w:rPr>
          <w:highlight w:val="yellow"/>
        </w:rPr>
        <w:t>[§A019TEU]</w:t>
      </w:r>
      <w:r w:rsidRPr="00BA2EB2">
        <w:rPr>
          <w:highlight w:val="magenta"/>
        </w:rPr>
        <w:t>[A006ECHR]</w:t>
      </w:r>
      <w:r w:rsidRPr="00BA2EB2">
        <w:rPr>
          <w:highlight w:val="darkCyan"/>
        </w:rPr>
        <w:t xml:space="preserve">[A006ECHR] </w:t>
      </w:r>
      <w:r w:rsidRPr="00BA2EB2">
        <w:rPr>
          <w:highlight w:val="green"/>
        </w:rPr>
        <w:t>[§A47CFR]</w:t>
      </w:r>
      <w:r w:rsidR="00D648C5">
        <w:t xml:space="preserve"> + </w:t>
      </w:r>
      <w:r w:rsidR="00984E18">
        <w:t>…</w:t>
      </w:r>
      <w:r>
        <w:br/>
      </w:r>
      <w:r w:rsidRPr="00BA2EB2">
        <w:rPr>
          <w:b/>
          <w:bCs/>
        </w:rPr>
        <w:t xml:space="preserve">ECJ </w:t>
      </w:r>
      <w:r>
        <w:rPr>
          <w:b/>
          <w:bCs/>
        </w:rPr>
        <w:t>Establish</w:t>
      </w:r>
      <w:r w:rsidRPr="00BA2EB2">
        <w:t>:</w:t>
      </w:r>
      <w:r>
        <w:tab/>
      </w:r>
      <w:r w:rsidRPr="00BA2EB2">
        <w:rPr>
          <w:highlight w:val="yellow"/>
        </w:rPr>
        <w:t>[§A019TEU]</w:t>
      </w:r>
    </w:p>
    <w:p w14:paraId="512D1AB8" w14:textId="68B447EA" w:rsidR="003A7B61" w:rsidRPr="00A22CD9" w:rsidRDefault="003A7B61" w:rsidP="00BA2EB2">
      <w:pPr>
        <w:rPr>
          <w:b/>
          <w:bCs/>
        </w:rPr>
      </w:pPr>
      <w:r>
        <w:rPr>
          <w:b/>
          <w:bCs/>
        </w:rPr>
        <w:t xml:space="preserve">MS Court Judgement: </w:t>
      </w:r>
      <w:r w:rsidR="00A22CD9">
        <w:rPr>
          <w:b/>
          <w:bCs/>
        </w:rPr>
        <w:br/>
      </w:r>
      <w:r w:rsidR="005E2886">
        <w:rPr>
          <w:b/>
          <w:bCs/>
        </w:rPr>
        <w:t xml:space="preserve">MS </w:t>
      </w:r>
      <w:r>
        <w:rPr>
          <w:b/>
          <w:bCs/>
        </w:rPr>
        <w:t>Establish</w:t>
      </w:r>
      <w:r w:rsidR="005E2886">
        <w:rPr>
          <w:b/>
          <w:bCs/>
        </w:rPr>
        <w:t xml:space="preserve"> Judgement:</w:t>
      </w:r>
    </w:p>
    <w:p w14:paraId="64FE090D" w14:textId="77777777" w:rsidR="00BA2EB2" w:rsidRDefault="00BA2EB2" w:rsidP="00BA2EB2">
      <w:pPr>
        <w:rPr>
          <w:b/>
          <w:bCs/>
        </w:rPr>
      </w:pPr>
    </w:p>
    <w:p w14:paraId="76D92D8E" w14:textId="1606E3E8" w:rsidR="00BA2EB2" w:rsidRPr="002527E2" w:rsidRDefault="00755005">
      <w:pPr>
        <w:rPr>
          <w:b/>
          <w:bCs/>
        </w:rPr>
      </w:pPr>
      <w:r w:rsidRPr="002527E2">
        <w:rPr>
          <w:b/>
          <w:bCs/>
        </w:rPr>
        <w:t>SOURCES</w:t>
      </w:r>
      <w:r w:rsidR="002527E2">
        <w:rPr>
          <w:b/>
          <w:bCs/>
        </w:rPr>
        <w:t>:</w:t>
      </w:r>
    </w:p>
    <w:p w14:paraId="6F1C95D2" w14:textId="1AB89F27" w:rsidR="00D648C5" w:rsidRDefault="00000000">
      <w:pPr>
        <w:rPr>
          <w:b/>
          <w:bCs/>
        </w:rPr>
      </w:pPr>
      <w:hyperlink r:id="rId6" w:anchor="_Section1" w:history="1">
        <w:r w:rsidR="00D648C5" w:rsidRPr="00D648C5">
          <w:rPr>
            <w:rStyle w:val="Hyperlink"/>
            <w:b/>
            <w:bCs/>
          </w:rPr>
          <w:t>National Court Case</w:t>
        </w:r>
      </w:hyperlink>
      <w:r w:rsidR="00D648C5">
        <w:rPr>
          <w:b/>
          <w:bCs/>
        </w:rPr>
        <w:br/>
      </w:r>
      <w:hyperlink r:id="rId7" w:history="1">
        <w:r w:rsidR="00D648C5" w:rsidRPr="00D648C5">
          <w:rPr>
            <w:rStyle w:val="Hyperlink"/>
            <w:b/>
            <w:bCs/>
          </w:rPr>
          <w:t>ECJ Judgement</w:t>
        </w:r>
      </w:hyperlink>
      <w:r w:rsidR="00D648C5">
        <w:rPr>
          <w:b/>
          <w:bCs/>
        </w:rPr>
        <w:br/>
      </w:r>
      <w:hyperlink r:id="rId8" w:history="1">
        <w:r w:rsidR="00D648C5" w:rsidRPr="00D648C5">
          <w:rPr>
            <w:rStyle w:val="Hyperlink"/>
            <w:b/>
            <w:bCs/>
          </w:rPr>
          <w:t>ECJ OJ</w:t>
        </w:r>
      </w:hyperlink>
    </w:p>
    <w:sectPr w:rsidR="00D648C5" w:rsidSect="009C1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EC8"/>
    <w:multiLevelType w:val="hybridMultilevel"/>
    <w:tmpl w:val="87B6B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97E8A"/>
    <w:multiLevelType w:val="hybridMultilevel"/>
    <w:tmpl w:val="814E32E2"/>
    <w:lvl w:ilvl="0" w:tplc="D8C6DE7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C4566"/>
    <w:multiLevelType w:val="hybridMultilevel"/>
    <w:tmpl w:val="F9B653BA"/>
    <w:lvl w:ilvl="0" w:tplc="D8C6DE7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05923"/>
    <w:multiLevelType w:val="hybridMultilevel"/>
    <w:tmpl w:val="3D2C466E"/>
    <w:lvl w:ilvl="0" w:tplc="D8C6DE7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40A31"/>
    <w:multiLevelType w:val="hybridMultilevel"/>
    <w:tmpl w:val="A036C9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766315F1"/>
    <w:multiLevelType w:val="hybridMultilevel"/>
    <w:tmpl w:val="C34029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21267539">
    <w:abstractNumId w:val="2"/>
  </w:num>
  <w:num w:numId="2" w16cid:durableId="548230602">
    <w:abstractNumId w:val="4"/>
  </w:num>
  <w:num w:numId="3" w16cid:durableId="1650859867">
    <w:abstractNumId w:val="3"/>
  </w:num>
  <w:num w:numId="4" w16cid:durableId="655688837">
    <w:abstractNumId w:val="1"/>
  </w:num>
  <w:num w:numId="5" w16cid:durableId="701787927">
    <w:abstractNumId w:val="0"/>
  </w:num>
  <w:num w:numId="6" w16cid:durableId="13121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44"/>
    <w:rsid w:val="000A09C0"/>
    <w:rsid w:val="0017784D"/>
    <w:rsid w:val="0019564B"/>
    <w:rsid w:val="002414CE"/>
    <w:rsid w:val="002527E2"/>
    <w:rsid w:val="00296A52"/>
    <w:rsid w:val="00303B44"/>
    <w:rsid w:val="003A7B61"/>
    <w:rsid w:val="003F59D1"/>
    <w:rsid w:val="00593DE8"/>
    <w:rsid w:val="005E2886"/>
    <w:rsid w:val="00641972"/>
    <w:rsid w:val="00674741"/>
    <w:rsid w:val="0074745D"/>
    <w:rsid w:val="00755005"/>
    <w:rsid w:val="00984E18"/>
    <w:rsid w:val="009866F1"/>
    <w:rsid w:val="009C162D"/>
    <w:rsid w:val="00A22CD9"/>
    <w:rsid w:val="00BA2EB2"/>
    <w:rsid w:val="00D648C5"/>
    <w:rsid w:val="00DE2B15"/>
    <w:rsid w:val="00EE4798"/>
    <w:rsid w:val="00FB45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7B9D"/>
  <w15:chartTrackingRefBased/>
  <w15:docId w15:val="{5EC624E0-07DE-4AF1-B4C9-685B1498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B4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unhideWhenUsed/>
    <w:rsid w:val="00303B44"/>
    <w:rPr>
      <w:color w:val="0000FF"/>
      <w:u w:val="single"/>
    </w:rPr>
  </w:style>
  <w:style w:type="paragraph" w:customStyle="1" w:styleId="c02alineaalta">
    <w:name w:val="c02alineaalta"/>
    <w:basedOn w:val="Normal"/>
    <w:rsid w:val="00674741"/>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BA2EB2"/>
    <w:pPr>
      <w:ind w:left="720"/>
      <w:contextualSpacing/>
    </w:pPr>
  </w:style>
  <w:style w:type="character" w:styleId="UnresolvedMention">
    <w:name w:val="Unresolved Mention"/>
    <w:basedOn w:val="DefaultParagraphFont"/>
    <w:uiPriority w:val="99"/>
    <w:semiHidden/>
    <w:unhideWhenUsed/>
    <w:rsid w:val="00D64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528">
      <w:bodyDiv w:val="1"/>
      <w:marLeft w:val="0"/>
      <w:marRight w:val="0"/>
      <w:marTop w:val="0"/>
      <w:marBottom w:val="0"/>
      <w:divBdr>
        <w:top w:val="none" w:sz="0" w:space="0" w:color="auto"/>
        <w:left w:val="none" w:sz="0" w:space="0" w:color="auto"/>
        <w:bottom w:val="none" w:sz="0" w:space="0" w:color="auto"/>
        <w:right w:val="none" w:sz="0" w:space="0" w:color="auto"/>
      </w:divBdr>
    </w:div>
    <w:div w:id="34699770">
      <w:bodyDiv w:val="1"/>
      <w:marLeft w:val="0"/>
      <w:marRight w:val="0"/>
      <w:marTop w:val="0"/>
      <w:marBottom w:val="0"/>
      <w:divBdr>
        <w:top w:val="none" w:sz="0" w:space="0" w:color="auto"/>
        <w:left w:val="none" w:sz="0" w:space="0" w:color="auto"/>
        <w:bottom w:val="none" w:sz="0" w:space="0" w:color="auto"/>
        <w:right w:val="none" w:sz="0" w:space="0" w:color="auto"/>
      </w:divBdr>
    </w:div>
    <w:div w:id="466507715">
      <w:bodyDiv w:val="1"/>
      <w:marLeft w:val="0"/>
      <w:marRight w:val="0"/>
      <w:marTop w:val="0"/>
      <w:marBottom w:val="0"/>
      <w:divBdr>
        <w:top w:val="none" w:sz="0" w:space="0" w:color="auto"/>
        <w:left w:val="none" w:sz="0" w:space="0" w:color="auto"/>
        <w:bottom w:val="none" w:sz="0" w:space="0" w:color="auto"/>
        <w:right w:val="none" w:sz="0" w:space="0" w:color="auto"/>
      </w:divBdr>
    </w:div>
    <w:div w:id="721056615">
      <w:bodyDiv w:val="1"/>
      <w:marLeft w:val="0"/>
      <w:marRight w:val="0"/>
      <w:marTop w:val="0"/>
      <w:marBottom w:val="0"/>
      <w:divBdr>
        <w:top w:val="none" w:sz="0" w:space="0" w:color="auto"/>
        <w:left w:val="none" w:sz="0" w:space="0" w:color="auto"/>
        <w:bottom w:val="none" w:sz="0" w:space="0" w:color="auto"/>
        <w:right w:val="none" w:sz="0" w:space="0" w:color="auto"/>
      </w:divBdr>
    </w:div>
    <w:div w:id="1098253719">
      <w:bodyDiv w:val="1"/>
      <w:marLeft w:val="0"/>
      <w:marRight w:val="0"/>
      <w:marTop w:val="0"/>
      <w:marBottom w:val="0"/>
      <w:divBdr>
        <w:top w:val="none" w:sz="0" w:space="0" w:color="auto"/>
        <w:left w:val="none" w:sz="0" w:space="0" w:color="auto"/>
        <w:bottom w:val="none" w:sz="0" w:space="0" w:color="auto"/>
        <w:right w:val="none" w:sz="0" w:space="0" w:color="auto"/>
      </w:divBdr>
    </w:div>
    <w:div w:id="1179126996">
      <w:bodyDiv w:val="1"/>
      <w:marLeft w:val="0"/>
      <w:marRight w:val="0"/>
      <w:marTop w:val="0"/>
      <w:marBottom w:val="0"/>
      <w:divBdr>
        <w:top w:val="none" w:sz="0" w:space="0" w:color="auto"/>
        <w:left w:val="none" w:sz="0" w:space="0" w:color="auto"/>
        <w:bottom w:val="none" w:sz="0" w:space="0" w:color="auto"/>
        <w:right w:val="none" w:sz="0" w:space="0" w:color="auto"/>
      </w:divBdr>
    </w:div>
    <w:div w:id="1617130271">
      <w:bodyDiv w:val="1"/>
      <w:marLeft w:val="0"/>
      <w:marRight w:val="0"/>
      <w:marTop w:val="0"/>
      <w:marBottom w:val="0"/>
      <w:divBdr>
        <w:top w:val="none" w:sz="0" w:space="0" w:color="auto"/>
        <w:left w:val="none" w:sz="0" w:space="0" w:color="auto"/>
        <w:bottom w:val="none" w:sz="0" w:space="0" w:color="auto"/>
        <w:right w:val="none" w:sz="0" w:space="0" w:color="auto"/>
      </w:divBdr>
    </w:div>
    <w:div w:id="1695769865">
      <w:bodyDiv w:val="1"/>
      <w:marLeft w:val="0"/>
      <w:marRight w:val="0"/>
      <w:marTop w:val="0"/>
      <w:marBottom w:val="0"/>
      <w:divBdr>
        <w:top w:val="none" w:sz="0" w:space="0" w:color="auto"/>
        <w:left w:val="none" w:sz="0" w:space="0" w:color="auto"/>
        <w:bottom w:val="none" w:sz="0" w:space="0" w:color="auto"/>
        <w:right w:val="none" w:sz="0" w:space="0" w:color="auto"/>
      </w:divBdr>
    </w:div>
    <w:div w:id="189033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ia.europa.eu/juris/document/document.jsf?docid=177524&amp;mode=lst&amp;pageIndex=1&amp;dir=&amp;occ=first&amp;part=1&amp;text=&amp;doclang=EN&amp;cid=3190302" TargetMode="External"/><Relationship Id="rId3" Type="http://schemas.openxmlformats.org/officeDocument/2006/relationships/settings" Target="settings.xml"/><Relationship Id="rId7" Type="http://schemas.openxmlformats.org/officeDocument/2006/relationships/hyperlink" Target="https://curia.europa.eu/juris/document/document.jsf?text=&amp;docid=199682&amp;pageIndex=0&amp;doclang=EN&amp;mode=lst&amp;dir=&amp;occ=first&amp;part=1&amp;cid=31903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gsi.pt/jsta.nsf/-/a357efbb8278421b80258295003d63fe?OpenDocument&amp;ExpandSection=1" TargetMode="External"/><Relationship Id="rId5" Type="http://schemas.openxmlformats.org/officeDocument/2006/relationships/hyperlink" Target="https://curia.europa.eu/juris/document/document.jsf?text=&amp;docid=177524&amp;pageIndex=0&amp;doclang=EN&amp;mode=lst&amp;dir=&amp;occ=first&amp;part=1&amp;cid=31903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Mandujano Manriquez</dc:creator>
  <cp:keywords/>
  <dc:description/>
  <cp:lastModifiedBy>Mauricio Mandujano Manriquez</cp:lastModifiedBy>
  <cp:revision>20</cp:revision>
  <dcterms:created xsi:type="dcterms:W3CDTF">2024-05-06T14:36:00Z</dcterms:created>
  <dcterms:modified xsi:type="dcterms:W3CDTF">2024-05-06T16:33:00Z</dcterms:modified>
</cp:coreProperties>
</file>