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7.0" w:type="dxa"/>
        <w:jc w:val="left"/>
        <w:tblInd w:w="70.0" w:type="pct"/>
        <w:tblLayout w:type="fixed"/>
        <w:tblLook w:val="0000"/>
      </w:tblPr>
      <w:tblGrid>
        <w:gridCol w:w="5858"/>
        <w:gridCol w:w="1844"/>
        <w:gridCol w:w="2225"/>
        <w:tblGridChange w:id="0">
          <w:tblGrid>
            <w:gridCol w:w="5858"/>
            <w:gridCol w:w="1844"/>
            <w:gridCol w:w="2225"/>
          </w:tblGrid>
        </w:tblGridChange>
      </w:tblGrid>
      <w:tr>
        <w:trPr>
          <w:trHeight w:val="220" w:hRule="atLeast"/>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rPr>
                <w:rFonts w:ascii="Arial" w:cs="Arial" w:eastAsia="Arial" w:hAnsi="Arial"/>
                <w:vertAlign w:val="baseline"/>
              </w:rPr>
            </w:pPr>
            <w:r w:rsidDel="00000000" w:rsidR="00000000" w:rsidRPr="00000000">
              <w:rPr>
                <w:rFonts w:ascii="Arial" w:cs="Arial" w:eastAsia="Arial" w:hAnsi="Arial"/>
                <w:vertAlign w:val="baseline"/>
                <w:rtl w:val="0"/>
              </w:rPr>
              <w:t xml:space="preserve">ACTA No. </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3">
            <w:pPr>
              <w:rPr>
                <w:rFonts w:ascii="Arial" w:cs="Arial" w:eastAsia="Arial" w:hAnsi="Arial"/>
                <w:vertAlign w:val="baseline"/>
              </w:rPr>
            </w:pPr>
            <w:r w:rsidDel="00000000" w:rsidR="00000000" w:rsidRPr="00000000">
              <w:rPr>
                <w:rFonts w:ascii="Arial" w:cs="Arial" w:eastAsia="Arial" w:hAnsi="Arial"/>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rPr>
                <w:rFonts w:ascii="Arial" w:cs="Arial" w:eastAsia="Arial" w:hAnsi="Arial"/>
                <w:vertAlign w:val="baseline"/>
              </w:rPr>
            </w:pPr>
            <w:r w:rsidDel="00000000" w:rsidR="00000000" w:rsidRPr="00000000">
              <w:rPr>
                <w:rFonts w:ascii="Arial" w:cs="Arial" w:eastAsia="Arial" w:hAnsi="Arial"/>
                <w:vertAlign w:val="baseline"/>
                <w:rtl w:val="0"/>
              </w:rPr>
              <w:t xml:space="preserve"> 1-FEB-2018</w:t>
            </w:r>
          </w:p>
        </w:tc>
      </w:tr>
      <w:tr>
        <w:trPr>
          <w:trHeight w:val="260" w:hRule="atLeast"/>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5">
            <w:pPr>
              <w:jc w:val="cente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 xml:space="preserve">HORA INICIAL: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r w:rsidDel="00000000" w:rsidR="00000000" w:rsidRPr="00000000">
              <w:rPr>
                <w:rFonts w:ascii="Arial" w:cs="Arial" w:eastAsia="Arial" w:hAnsi="Arial"/>
                <w:rtl w:val="0"/>
              </w:rPr>
              <w:t xml:space="preserve">0</w:t>
            </w:r>
            <w:r w:rsidDel="00000000" w:rsidR="00000000" w:rsidRPr="00000000">
              <w:rPr>
                <w:rFonts w:ascii="Arial" w:cs="Arial" w:eastAsia="Arial" w:hAnsi="Arial"/>
                <w:vertAlign w:val="baseline"/>
                <w:rtl w:val="0"/>
              </w:rPr>
              <w:t xml:space="preserve">0</w:t>
            </w:r>
          </w:p>
        </w:tc>
      </w:tr>
      <w:tr>
        <w:trPr>
          <w:trHeight w:val="140" w:hRule="atLeast"/>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8">
            <w:pPr>
              <w:jc w:val="cente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HORA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baseline"/>
                <w:rtl w:val="0"/>
              </w:rPr>
              <w:t xml:space="preserve">:00</w:t>
            </w:r>
          </w:p>
        </w:tc>
      </w:tr>
      <w:tr>
        <w:trPr>
          <w:trHeight w:val="6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vertAlign w:val="baseline"/>
                <w:rtl w:val="0"/>
              </w:rPr>
              <w:t xml:space="preserve">OBJETIVO: </w:t>
            </w:r>
            <w:r w:rsidDel="00000000" w:rsidR="00000000" w:rsidRPr="00000000">
              <w:rPr>
                <w:rFonts w:ascii="Arial" w:cs="Arial" w:eastAsia="Arial" w:hAnsi="Arial"/>
                <w:rtl w:val="0"/>
              </w:rPr>
              <w:t xml:space="preserve">Diseñar la plataforma de observación-coordinación del proyecto OPC, metodología de innovación digital - Jornada 2 de 4</w:t>
            </w:r>
            <w:r w:rsidDel="00000000" w:rsidR="00000000" w:rsidRPr="00000000">
              <w:rPr>
                <w:rFonts w:ascii="Arial" w:cs="Arial" w:eastAsia="Arial" w:hAnsi="Arial"/>
                <w:vertAlign w:val="baseline"/>
                <w:rtl w:val="0"/>
              </w:rPr>
              <w:t xml:space="preserv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vertAlign w:val="baseline"/>
                <w:rtl w:val="0"/>
              </w:rPr>
              <w:t xml:space="preserve">LUGAR: </w:t>
            </w:r>
            <w:r w:rsidDel="00000000" w:rsidR="00000000" w:rsidRPr="00000000">
              <w:rPr>
                <w:rFonts w:ascii="Arial" w:cs="Arial" w:eastAsia="Arial" w:hAnsi="Arial"/>
                <w:rtl w:val="0"/>
              </w:rPr>
              <w:t xml:space="preserve">Auditorio 114 Universidad San Buenaventura Cali. </w:t>
            </w:r>
          </w:p>
          <w:p w:rsidR="00000000" w:rsidDel="00000000" w:rsidP="00000000" w:rsidRDefault="00000000" w:rsidRPr="00000000" w14:paraId="0000000D">
            <w:pPr>
              <w:rPr>
                <w:rFonts w:ascii="Arial" w:cs="Arial" w:eastAsia="Arial" w:hAnsi="Arial"/>
              </w:rPr>
            </w:pPr>
            <w:r w:rsidDel="00000000" w:rsidR="00000000" w:rsidRPr="00000000">
              <w:rPr>
                <w:rtl w:val="0"/>
              </w:rPr>
            </w:r>
          </w:p>
        </w:tc>
      </w:tr>
    </w:tbl>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ASISTENTES:</w:t>
      </w:r>
      <w:r w:rsidDel="00000000" w:rsidR="00000000" w:rsidRPr="00000000">
        <w:rPr>
          <w:rFonts w:ascii="Arial" w:cs="Arial" w:eastAsia="Arial" w:hAnsi="Arial"/>
          <w:rtl w:val="0"/>
        </w:rPr>
        <w:t xml:space="preserve"> Meriyeinns Cifuentes, Carlos Ocoro, Karol Benitez, Ana M Galvez, Mauricio Sedano, Juan M. Torres, Andrés Suárez, Gregory Rivera, Sebastian Rios, Liliana Quenan </w:t>
      </w:r>
      <w:r w:rsidDel="00000000" w:rsidR="00000000" w:rsidRPr="00000000">
        <w:rPr>
          <w:rFonts w:ascii="Arial" w:cs="Arial" w:eastAsia="Arial" w:hAnsi="Arial"/>
          <w:b w:val="1"/>
          <w:vertAlign w:val="baseline"/>
          <w:rtl w:val="0"/>
        </w:rPr>
        <w:t xml:space="preserve">(Ver listado de asistencia)</w:t>
      </w:r>
      <w:r w:rsidDel="00000000" w:rsidR="00000000" w:rsidRPr="00000000">
        <w:rPr>
          <w:rtl w:val="0"/>
        </w:rPr>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jc w:val="both"/>
        <w:rPr>
          <w:rFonts w:ascii="Arial" w:cs="Arial" w:eastAsia="Arial" w:hAnsi="Arial"/>
          <w:color w:val="ff0000"/>
        </w:rPr>
      </w:pPr>
      <w:r w:rsidDel="00000000" w:rsidR="00000000" w:rsidRPr="00000000">
        <w:rPr>
          <w:rFonts w:ascii="Arial" w:cs="Arial" w:eastAsia="Arial" w:hAnsi="Arial"/>
          <w:vertAlign w:val="baseline"/>
          <w:rtl w:val="0"/>
        </w:rPr>
        <w:t xml:space="preserve">AUSENTES: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Fabian Mendez, Luis Bernal</w:t>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INVITADO: N/A</w:t>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ORDEN DEL DÍA:</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vertAlign w:val="baseline"/>
          <w:rtl w:val="0"/>
        </w:rPr>
        <w:t xml:space="preserve">1. Presentación </w:t>
      </w:r>
      <w:r w:rsidDel="00000000" w:rsidR="00000000" w:rsidRPr="00000000">
        <w:rPr>
          <w:rFonts w:ascii="Arial" w:cs="Arial" w:eastAsia="Arial" w:hAnsi="Arial"/>
          <w:rtl w:val="0"/>
        </w:rPr>
        <w:t xml:space="preserve">y r</w:t>
      </w:r>
      <w:r w:rsidDel="00000000" w:rsidR="00000000" w:rsidRPr="00000000">
        <w:rPr>
          <w:rFonts w:ascii="Arial" w:cs="Arial" w:eastAsia="Arial" w:hAnsi="Arial"/>
          <w:rtl w:val="0"/>
        </w:rPr>
        <w:t xml:space="preserve">evisión de la narrativa del  informe de la Jornada 1 </w:t>
      </w:r>
    </w:p>
    <w:p w:rsidR="00000000" w:rsidDel="00000000" w:rsidP="00000000" w:rsidRDefault="00000000" w:rsidRPr="00000000" w14:paraId="00000018">
      <w:pPr>
        <w:jc w:val="both"/>
        <w:rPr>
          <w:rFonts w:ascii="Arial" w:cs="Arial" w:eastAsia="Arial" w:hAnsi="Arial"/>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 Alternativas de licenciamiento</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3. Entrega de materiales por grupos, actividad de compartir, pausa y refrigerio</w:t>
      </w:r>
    </w:p>
    <w:p w:rsidR="00000000" w:rsidDel="00000000" w:rsidP="00000000" w:rsidRDefault="00000000" w:rsidRPr="00000000" w14:paraId="0000001A">
      <w:pPr>
        <w:jc w:val="both"/>
        <w:rPr>
          <w:rFonts w:ascii="Arial" w:cs="Arial" w:eastAsia="Arial" w:hAnsi="Arial"/>
          <w:vertAlign w:val="baseline"/>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Desarrollo de las propuestas de valor</w:t>
      </w:r>
      <w:r w:rsidDel="00000000" w:rsidR="00000000" w:rsidRPr="00000000">
        <w:rPr>
          <w:rtl w:val="0"/>
        </w:rPr>
      </w:r>
    </w:p>
    <w:p w:rsidR="00000000" w:rsidDel="00000000" w:rsidP="00000000" w:rsidRDefault="00000000" w:rsidRPr="00000000" w14:paraId="0000001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DESARROLLO:</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1. M.SEDANO dió inicio presentando el informe de la Jornada 1</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En especial, se presentó una alternativa complementaria al principio de licenciamiento inicialmente propuesto que restringe el uso de este material con fines comerciales. A esta jornada asistió Jessica Zaidens de la SPCC/Comunicaciones para fortalecer su comprensión acerca del proyecto OPC y para empezar a estructurar la línea de mensaje; para este fin entrevistó a varios gestores-observadores y a Mauricio Sedano. Esta jornada se enfocó a identificar quienes son los clientes del proyecto OPC y cual es la propuesta de valor que ofrece su plataforma de observación-coronación. En general la metodología aplicada permitió identificar diferentes clientes, productos y servicios y se orienta a establecer si la propuesta de productos y servicios identificados encajan en las alegrías y las frustraciones de los clientes identificados. Al final de la jornada se presentó el material de trabajo del Día 3 (Lunes 5 de Febrero de 2018) que será utilizado para definir el modelo de negocio.</w:t>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Agenda de 4 jornadas de diseño</w:t>
      </w:r>
    </w:p>
    <w:p w:rsidR="00000000" w:rsidDel="00000000" w:rsidP="00000000" w:rsidRDefault="00000000" w:rsidRPr="00000000" w14:paraId="00000022">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Principio de licenciamiento para el material y la obra resultante</w:t>
        <w:tab/>
      </w:r>
    </w:p>
    <w:p w:rsidR="00000000" w:rsidDel="00000000" w:rsidP="00000000" w:rsidRDefault="00000000" w:rsidRPr="00000000" w14:paraId="00000023">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Objetivo general de las Jornadas</w:t>
      </w:r>
    </w:p>
    <w:p w:rsidR="00000000" w:rsidDel="00000000" w:rsidP="00000000" w:rsidRDefault="00000000" w:rsidRPr="00000000" w14:paraId="00000024">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Metodología propuesta para la primera Jornada</w:t>
      </w:r>
    </w:p>
    <w:p w:rsidR="00000000" w:rsidDel="00000000" w:rsidP="00000000" w:rsidRDefault="00000000" w:rsidRPr="00000000" w14:paraId="00000025">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Problema misional y desafío</w:t>
      </w:r>
    </w:p>
    <w:p w:rsidR="00000000" w:rsidDel="00000000" w:rsidP="00000000" w:rsidRDefault="00000000" w:rsidRPr="00000000" w14:paraId="00000026">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Enfoque del procedimiento general de datos para el proyecto OPC</w:t>
      </w:r>
    </w:p>
    <w:p w:rsidR="00000000" w:rsidDel="00000000" w:rsidP="00000000" w:rsidRDefault="00000000" w:rsidRPr="00000000" w14:paraId="00000027">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Caso GRAFICALIA</w:t>
      </w:r>
    </w:p>
    <w:p w:rsidR="00000000" w:rsidDel="00000000" w:rsidP="00000000" w:rsidRDefault="00000000" w:rsidRPr="00000000" w14:paraId="00000028">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Función de coordinación</w:t>
      </w:r>
    </w:p>
    <w:p w:rsidR="00000000" w:rsidDel="00000000" w:rsidP="00000000" w:rsidRDefault="00000000" w:rsidRPr="00000000" w14:paraId="00000029">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Caso GPCC</w:t>
      </w:r>
    </w:p>
    <w:p w:rsidR="00000000" w:rsidDel="00000000" w:rsidP="00000000" w:rsidRDefault="00000000" w:rsidRPr="00000000" w14:paraId="0000002A">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Metodología de propuesta de valor</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2. M.SEDANO presentó una alternativa de licenciamiento complementaria. Esta alternativa, además otorgar libertad para compartir y adaptar, bajo los términos de atribución y compartir igual, agrega el término “no comercial” para indicar que no puede hacer uso del material con fines comerciales. De esta manera se ofrece una alternativa a la petición de Carlos Ocoró.</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3. M.SEDANO entregó los materiales de trabajo a los grupos designados y continuó dando paso a la actividad de compartir, pausa y refrigerio</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line="240" w:lineRule="auto"/>
        <w:jc w:val="both"/>
        <w:rPr>
          <w:rFonts w:ascii="Arial" w:cs="Arial" w:eastAsia="Arial" w:hAnsi="Arial"/>
        </w:rPr>
      </w:pPr>
      <w:r w:rsidDel="00000000" w:rsidR="00000000" w:rsidRPr="00000000">
        <w:rPr>
          <w:rFonts w:ascii="Arial" w:cs="Arial" w:eastAsia="Arial" w:hAnsi="Arial"/>
          <w:rtl w:val="0"/>
        </w:rPr>
        <w:t xml:space="preserve">4. Al regresar de la actividad de compartir, se dió inicio al desarrollo de las propuestas de valor. </w:t>
      </w:r>
    </w:p>
    <w:p w:rsidR="00000000" w:rsidDel="00000000" w:rsidP="00000000" w:rsidRDefault="00000000" w:rsidRPr="00000000" w14:paraId="0000003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240" w:lineRule="auto"/>
        <w:jc w:val="both"/>
        <w:rPr>
          <w:rFonts w:ascii="Arial" w:cs="Arial" w:eastAsia="Arial" w:hAnsi="Arial"/>
        </w:rPr>
      </w:pPr>
      <w:r w:rsidDel="00000000" w:rsidR="00000000" w:rsidRPr="00000000">
        <w:rPr>
          <w:rFonts w:ascii="Arial" w:cs="Arial" w:eastAsia="Arial" w:hAnsi="Arial"/>
          <w:rtl w:val="0"/>
        </w:rPr>
        <w:t xml:space="preserve">M.SEDANO abordó la pregunta </w:t>
      </w:r>
      <w:r w:rsidDel="00000000" w:rsidR="00000000" w:rsidRPr="00000000">
        <w:rPr>
          <w:rFonts w:ascii="Arial" w:cs="Arial" w:eastAsia="Arial" w:hAnsi="Arial"/>
          <w:b w:val="1"/>
          <w:rtl w:val="0"/>
        </w:rPr>
        <w:t xml:space="preserve">¿Quien es el Cliente? </w:t>
      </w:r>
      <w:r w:rsidDel="00000000" w:rsidR="00000000" w:rsidRPr="00000000">
        <w:rPr>
          <w:rFonts w:ascii="Arial" w:cs="Arial" w:eastAsia="Arial" w:hAnsi="Arial"/>
          <w:rtl w:val="0"/>
        </w:rPr>
        <w:t xml:space="preserve"> para lograr unificar la visión sobre este aspecto. </w:t>
      </w:r>
      <w:r w:rsidDel="00000000" w:rsidR="00000000" w:rsidRPr="00000000">
        <w:rPr>
          <w:rFonts w:ascii="Arial" w:cs="Arial" w:eastAsia="Arial" w:hAnsi="Arial"/>
          <w:rtl w:val="0"/>
        </w:rPr>
        <w:t xml:space="preserve">Para responder a esta pregunta se utilizaron tres enfoques para distinguir los diferentes clientes. El primero estableció la relación: institución, comunidad y ciudadano para referirse los beneficiarios de la plataforma. El segundo estableció un ciclo de vida: la transición de ciudadanos que se vincula al entrenamiento como observador, la transición de observador entrenado que se vincula al desarrollo de una propuesta metodología de evaluación y en medio de estas dos la transición de un gestor que vinculado al programa GPCC o al entrenamiento como observador transita a lograr una certificación y a apoyar un proceso de evaluación de un proyecto o una iniciativa. Un tercer enfoque destacó la etapa de convocatoria y adicionó la función de acompañamiento en su formación. Se enfatizó en que las funciones de la plataforma a diseñar son las de observación y coordinación, y que no se abordará la función de entrenamiento.</w:t>
      </w:r>
    </w:p>
    <w:p w:rsidR="00000000" w:rsidDel="00000000" w:rsidP="00000000" w:rsidRDefault="00000000" w:rsidRPr="00000000" w14:paraId="00000033">
      <w:pPr>
        <w:spacing w:line="276" w:lineRule="auto"/>
        <w:jc w:val="both"/>
        <w:rPr>
          <w:rFonts w:ascii="Arial" w:cs="Arial" w:eastAsia="Arial" w:hAnsi="Arial"/>
        </w:rPr>
      </w:pPr>
      <w:r w:rsidDel="00000000" w:rsidR="00000000" w:rsidRPr="00000000">
        <w:rPr>
          <w:rtl w:val="0"/>
        </w:rPr>
      </w:r>
    </w:p>
    <w:tbl>
      <w:tblPr>
        <w:tblStyle w:val="Table2"/>
        <w:tblW w:w="9972.0" w:type="dxa"/>
        <w:jc w:val="left"/>
        <w:tblInd w:w="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5714285714287"/>
        <w:gridCol w:w="1424.5714285714287"/>
        <w:gridCol w:w="1424.5714285714287"/>
        <w:gridCol w:w="1424.5714285714287"/>
        <w:gridCol w:w="1424.5714285714287"/>
        <w:gridCol w:w="1424.5714285714287"/>
        <w:gridCol w:w="1424.5714285714287"/>
        <w:tblGridChange w:id="0">
          <w:tblGrid>
            <w:gridCol w:w="1424.5714285714287"/>
            <w:gridCol w:w="1424.5714285714287"/>
            <w:gridCol w:w="1424.5714285714287"/>
            <w:gridCol w:w="1424.5714285714287"/>
            <w:gridCol w:w="1424.5714285714287"/>
            <w:gridCol w:w="1424.5714285714287"/>
            <w:gridCol w:w="1424.5714285714287"/>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center"/>
          </w:tcPr>
          <w:p w:rsidR="00000000" w:rsidDel="00000000" w:rsidP="00000000" w:rsidRDefault="00000000" w:rsidRPr="00000000" w14:paraId="00000034">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Ciclo</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center"/>
          </w:tcPr>
          <w:p w:rsidR="00000000" w:rsidDel="00000000" w:rsidP="00000000" w:rsidRDefault="00000000" w:rsidRPr="00000000" w14:paraId="00000037">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Etapa</w:t>
            </w:r>
          </w:p>
        </w:tc>
        <w:tc>
          <w:tcPr>
            <w:tcBorders>
              <w:top w:color="000000" w:space="0" w:sz="6" w:val="single"/>
              <w:left w:color="000000" w:space="0" w:sz="6" w:val="single"/>
              <w:bottom w:color="000000" w:space="0" w:sz="6" w:val="single"/>
              <w:right w:color="000000" w:space="0" w:sz="6" w:val="single"/>
            </w:tcBorders>
            <w:shd w:fill="ffff00" w:val="clear"/>
            <w:tcMar>
              <w:top w:w="60.0" w:type="dxa"/>
              <w:left w:w="60.0" w:type="dxa"/>
              <w:bottom w:w="60.0" w:type="dxa"/>
              <w:right w:w="60.0" w:type="dxa"/>
            </w:tcMar>
            <w:vAlign w:val="center"/>
          </w:tcPr>
          <w:p w:rsidR="00000000" w:rsidDel="00000000" w:rsidP="00000000" w:rsidRDefault="00000000" w:rsidRPr="00000000" w14:paraId="00000038">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Individuo</w:t>
            </w:r>
          </w:p>
        </w:tc>
        <w:tc>
          <w:tcPr>
            <w:tcBorders>
              <w:top w:color="000000" w:space="0" w:sz="6" w:val="single"/>
              <w:left w:color="000000" w:space="0" w:sz="6" w:val="single"/>
              <w:bottom w:color="000000" w:space="0" w:sz="6" w:val="single"/>
              <w:right w:color="000000" w:space="0" w:sz="6" w:val="single"/>
            </w:tcBorders>
            <w:shd w:fill="f8ba00" w:val="clear"/>
            <w:tcMar>
              <w:top w:w="60.0" w:type="dxa"/>
              <w:left w:w="60.0" w:type="dxa"/>
              <w:bottom w:w="60.0" w:type="dxa"/>
              <w:right w:w="60.0" w:type="dxa"/>
            </w:tcMar>
            <w:vAlign w:val="center"/>
          </w:tcPr>
          <w:p w:rsidR="00000000" w:rsidDel="00000000" w:rsidP="00000000" w:rsidRDefault="00000000" w:rsidRPr="00000000" w14:paraId="00000039">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Comunidad</w:t>
            </w:r>
          </w:p>
        </w:tc>
        <w:tc>
          <w:tcPr>
            <w:tcBorders>
              <w:top w:color="000000" w:space="0" w:sz="6" w:val="single"/>
              <w:left w:color="000000" w:space="0" w:sz="6" w:val="single"/>
              <w:bottom w:color="000000" w:space="0" w:sz="6" w:val="single"/>
              <w:right w:color="000000" w:space="0" w:sz="6" w:val="single"/>
            </w:tcBorders>
            <w:shd w:fill="00a2ff" w:val="clear"/>
            <w:tcMar>
              <w:top w:w="60.0" w:type="dxa"/>
              <w:left w:w="60.0" w:type="dxa"/>
              <w:bottom w:w="60.0" w:type="dxa"/>
              <w:right w:w="60.0" w:type="dxa"/>
            </w:tcMar>
            <w:vAlign w:val="center"/>
          </w:tcPr>
          <w:p w:rsidR="00000000" w:rsidDel="00000000" w:rsidP="00000000" w:rsidRDefault="00000000" w:rsidRPr="00000000" w14:paraId="0000003A">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Institución / Privado</w:t>
            </w:r>
          </w:p>
        </w:tc>
      </w:tr>
      <w:tr>
        <w:tc>
          <w:tcPr>
            <w:tcBorders>
              <w:top w:color="000000" w:space="0" w:sz="6" w:val="single"/>
              <w:left w:color="000000" w:space="0" w:sz="6" w:val="single"/>
              <w:bottom w:color="000000" w:space="0" w:sz="6" w:val="single"/>
              <w:right w:color="000000" w:space="0" w:sz="6" w:val="single"/>
            </w:tcBorders>
            <w:shd w:fill="88fa4e" w:val="clear"/>
            <w:tcMar>
              <w:top w:w="60.0" w:type="dxa"/>
              <w:left w:w="60.0" w:type="dxa"/>
              <w:bottom w:w="60.0" w:type="dxa"/>
              <w:right w:w="60.0" w:type="dxa"/>
            </w:tcMar>
            <w:vAlign w:val="top"/>
          </w:tcPr>
          <w:p w:rsidR="00000000" w:rsidDel="00000000" w:rsidP="00000000" w:rsidRDefault="00000000" w:rsidRPr="00000000" w14:paraId="0000003B">
            <w:pPr>
              <w:widowControl w:val="0"/>
              <w:jc w:val="center"/>
              <w:rPr>
                <w:rFonts w:ascii="Arial" w:cs="Arial" w:eastAsia="Arial" w:hAnsi="Arial"/>
                <w:b w:val="1"/>
                <w:sz w:val="18"/>
                <w:szCs w:val="18"/>
                <w:shd w:fill="88fa4e" w:val="clear"/>
              </w:rPr>
            </w:pPr>
            <w:r w:rsidDel="00000000" w:rsidR="00000000" w:rsidRPr="00000000">
              <w:rPr>
                <w:rFonts w:ascii="Arial" w:cs="Arial" w:eastAsia="Arial" w:hAnsi="Arial"/>
                <w:b w:val="1"/>
                <w:sz w:val="18"/>
                <w:szCs w:val="18"/>
                <w:shd w:fill="88fa4e" w:val="clear"/>
                <w:rtl w:val="0"/>
              </w:rPr>
              <w:t xml:space="preserve">Ciudadano</w:t>
            </w:r>
          </w:p>
        </w:tc>
        <w:tc>
          <w:tcPr>
            <w:tcBorders>
              <w:top w:color="000000" w:space="0" w:sz="6" w:val="single"/>
              <w:left w:color="000000" w:space="0" w:sz="6" w:val="single"/>
              <w:bottom w:color="000000" w:space="0" w:sz="6" w:val="single"/>
              <w:right w:color="000000" w:space="0" w:sz="6" w:val="single"/>
            </w:tcBorders>
            <w:shd w:fill="61d836" w:val="clear"/>
            <w:tcMar>
              <w:top w:w="60.0" w:type="dxa"/>
              <w:left w:w="60.0" w:type="dxa"/>
              <w:bottom w:w="60.0" w:type="dxa"/>
              <w:right w:w="60.0" w:type="dxa"/>
            </w:tcMar>
            <w:vAlign w:val="top"/>
          </w:tcPr>
          <w:p w:rsidR="00000000" w:rsidDel="00000000" w:rsidP="00000000" w:rsidRDefault="00000000" w:rsidRPr="00000000" w14:paraId="0000003C">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Gestor</w:t>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top"/>
          </w:tcPr>
          <w:p w:rsidR="00000000" w:rsidDel="00000000" w:rsidP="00000000" w:rsidRDefault="00000000" w:rsidRPr="00000000" w14:paraId="0000003D">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Observador</w:t>
            </w:r>
          </w:p>
        </w:tc>
        <w:tc>
          <w:tcPr>
            <w:tcBorders>
              <w:top w:color="000000" w:space="0" w:sz="6" w:val="single"/>
              <w:left w:color="000000" w:space="0" w:sz="6" w:val="single"/>
              <w:bottom w:color="000000" w:space="0" w:sz="6" w:val="single"/>
              <w:right w:color="000000" w:space="0" w:sz="6" w:val="single"/>
            </w:tcBorders>
            <w:shd w:fill="88fa4e" w:val="clear"/>
            <w:tcMar>
              <w:top w:w="60.0" w:type="dxa"/>
              <w:left w:w="60.0" w:type="dxa"/>
              <w:bottom w:w="60.0" w:type="dxa"/>
              <w:right w:w="60.0" w:type="dxa"/>
            </w:tcMar>
            <w:vAlign w:val="top"/>
          </w:tcPr>
          <w:p w:rsidR="00000000" w:rsidDel="00000000" w:rsidP="00000000" w:rsidRDefault="00000000" w:rsidRPr="00000000" w14:paraId="0000003E">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Convocatoria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widowControl w:val="0"/>
              <w:spacing w:line="276" w:lineRule="auto"/>
              <w:jc w:val="center"/>
              <w:rPr>
                <w:rFonts w:ascii="Arial" w:cs="Arial" w:eastAsia="Arial" w:hAnsi="Arial"/>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88fa4e" w:val="clear"/>
            <w:tcMar>
              <w:top w:w="60.0" w:type="dxa"/>
              <w:left w:w="60.0" w:type="dxa"/>
              <w:bottom w:w="60.0" w:type="dxa"/>
              <w:right w:w="60.0" w:type="dxa"/>
            </w:tcMar>
            <w:vAlign w:val="center"/>
          </w:tcPr>
          <w:p w:rsidR="00000000" w:rsidDel="00000000" w:rsidP="00000000" w:rsidRDefault="00000000" w:rsidRPr="00000000" w14:paraId="00000042">
            <w:pPr>
              <w:widowControl w:val="0"/>
              <w:jc w:val="center"/>
              <w:rPr>
                <w:rFonts w:ascii="Arial" w:cs="Arial" w:eastAsia="Arial" w:hAnsi="Arial"/>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1d836" w:val="clear"/>
            <w:tcMar>
              <w:top w:w="60.0" w:type="dxa"/>
              <w:left w:w="60.0" w:type="dxa"/>
              <w:bottom w:w="60.0" w:type="dxa"/>
              <w:right w:w="60.0" w:type="dxa"/>
            </w:tcMar>
            <w:vAlign w:val="center"/>
          </w:tcPr>
          <w:p w:rsidR="00000000" w:rsidDel="00000000" w:rsidP="00000000" w:rsidRDefault="00000000" w:rsidRPr="00000000" w14:paraId="00000043">
            <w:pPr>
              <w:widowControl w:val="0"/>
              <w:jc w:val="center"/>
              <w:rPr>
                <w:rFonts w:ascii="Arial" w:cs="Arial" w:eastAsia="Arial" w:hAnsi="Arial"/>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center"/>
          </w:tcPr>
          <w:p w:rsidR="00000000" w:rsidDel="00000000" w:rsidP="00000000" w:rsidRDefault="00000000" w:rsidRPr="00000000" w14:paraId="00000044">
            <w:pPr>
              <w:widowControl w:val="0"/>
              <w:jc w:val="center"/>
              <w:rPr>
                <w:rFonts w:ascii="Arial" w:cs="Arial" w:eastAsia="Arial" w:hAnsi="Arial"/>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1d836" w:val="clear"/>
            <w:tcMar>
              <w:top w:w="60.0" w:type="dxa"/>
              <w:left w:w="60.0" w:type="dxa"/>
              <w:bottom w:w="60.0" w:type="dxa"/>
              <w:right w:w="60.0" w:type="dxa"/>
            </w:tcMar>
            <w:vAlign w:val="top"/>
          </w:tcPr>
          <w:p w:rsidR="00000000" w:rsidDel="00000000" w:rsidP="00000000" w:rsidRDefault="00000000" w:rsidRPr="00000000" w14:paraId="00000045">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Vinculación</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46">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47">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48">
            <w:pPr>
              <w:widowControl w:val="0"/>
              <w:spacing w:line="276" w:lineRule="auto"/>
              <w:jc w:val="center"/>
              <w:rPr>
                <w:rFonts w:ascii="Arial" w:cs="Arial" w:eastAsia="Arial" w:hAnsi="Arial"/>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88fa4e" w:val="clear"/>
            <w:tcMar>
              <w:top w:w="60.0" w:type="dxa"/>
              <w:left w:w="60.0" w:type="dxa"/>
              <w:bottom w:w="60.0" w:type="dxa"/>
              <w:right w:w="60.0" w:type="dxa"/>
            </w:tcMar>
            <w:vAlign w:val="top"/>
          </w:tcPr>
          <w:p w:rsidR="00000000" w:rsidDel="00000000" w:rsidP="00000000" w:rsidRDefault="00000000" w:rsidRPr="00000000" w14:paraId="00000049">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1d836" w:val="clear"/>
            <w:tcMar>
              <w:top w:w="60.0" w:type="dxa"/>
              <w:left w:w="60.0" w:type="dxa"/>
              <w:bottom w:w="60.0" w:type="dxa"/>
              <w:right w:w="60.0" w:type="dxa"/>
            </w:tcMar>
            <w:vAlign w:val="top"/>
          </w:tcPr>
          <w:p w:rsidR="00000000" w:rsidDel="00000000" w:rsidP="00000000" w:rsidRDefault="00000000" w:rsidRPr="00000000" w14:paraId="0000004A">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top"/>
          </w:tcPr>
          <w:p w:rsidR="00000000" w:rsidDel="00000000" w:rsidP="00000000" w:rsidRDefault="00000000" w:rsidRPr="00000000" w14:paraId="0000004B">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top"/>
          </w:tcPr>
          <w:p w:rsidR="00000000" w:rsidDel="00000000" w:rsidP="00000000" w:rsidRDefault="00000000" w:rsidRPr="00000000" w14:paraId="0000004C">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Entrenamiento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widowControl w:val="0"/>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widowControl w:val="0"/>
              <w:spacing w:line="276" w:lineRule="auto"/>
              <w:jc w:val="center"/>
              <w:rPr>
                <w:rFonts w:ascii="Arial" w:cs="Arial" w:eastAsia="Arial" w:hAnsi="Arial"/>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88fa4e" w:val="clear"/>
            <w:tcMar>
              <w:top w:w="60.0" w:type="dxa"/>
              <w:left w:w="60.0" w:type="dxa"/>
              <w:bottom w:w="60.0" w:type="dxa"/>
              <w:right w:w="60.0" w:type="dxa"/>
            </w:tcMar>
            <w:vAlign w:val="top"/>
          </w:tcPr>
          <w:p w:rsidR="00000000" w:rsidDel="00000000" w:rsidP="00000000" w:rsidRDefault="00000000" w:rsidRPr="00000000" w14:paraId="00000050">
            <w:pPr>
              <w:widowControl w:val="0"/>
              <w:jc w:val="center"/>
              <w:rPr>
                <w:rFonts w:ascii="Arial" w:cs="Arial" w:eastAsia="Arial" w:hAnsi="Arial"/>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1d836" w:val="clear"/>
            <w:tcMar>
              <w:top w:w="60.0" w:type="dxa"/>
              <w:left w:w="60.0" w:type="dxa"/>
              <w:bottom w:w="60.0" w:type="dxa"/>
              <w:right w:w="60.0" w:type="dxa"/>
            </w:tcMar>
            <w:vAlign w:val="top"/>
          </w:tcPr>
          <w:p w:rsidR="00000000" w:rsidDel="00000000" w:rsidP="00000000" w:rsidRDefault="00000000" w:rsidRPr="00000000" w14:paraId="00000051">
            <w:pPr>
              <w:widowControl w:val="0"/>
              <w:jc w:val="center"/>
              <w:rPr>
                <w:rFonts w:ascii="Arial" w:cs="Arial" w:eastAsia="Arial" w:hAnsi="Arial"/>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top"/>
          </w:tcPr>
          <w:p w:rsidR="00000000" w:rsidDel="00000000" w:rsidP="00000000" w:rsidRDefault="00000000" w:rsidRPr="00000000" w14:paraId="00000052">
            <w:pPr>
              <w:widowControl w:val="0"/>
              <w:jc w:val="center"/>
              <w:rPr>
                <w:rFonts w:ascii="Arial" w:cs="Arial" w:eastAsia="Arial" w:hAnsi="Arial"/>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top"/>
          </w:tcPr>
          <w:p w:rsidR="00000000" w:rsidDel="00000000" w:rsidP="00000000" w:rsidRDefault="00000000" w:rsidRPr="00000000" w14:paraId="00000053">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Certificación</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54">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55">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56">
            <w:pPr>
              <w:widowControl w:val="0"/>
              <w:spacing w:line="276" w:lineRule="auto"/>
              <w:jc w:val="center"/>
              <w:rPr>
                <w:rFonts w:ascii="Arial" w:cs="Arial" w:eastAsia="Arial" w:hAnsi="Arial"/>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88fa4e" w:val="clear"/>
            <w:tcMar>
              <w:top w:w="60.0" w:type="dxa"/>
              <w:left w:w="60.0" w:type="dxa"/>
              <w:bottom w:w="60.0" w:type="dxa"/>
              <w:right w:w="60.0" w:type="dxa"/>
            </w:tcMar>
            <w:vAlign w:val="top"/>
          </w:tcPr>
          <w:p w:rsidR="00000000" w:rsidDel="00000000" w:rsidP="00000000" w:rsidRDefault="00000000" w:rsidRPr="00000000" w14:paraId="00000057">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1d836" w:val="clear"/>
            <w:tcMar>
              <w:top w:w="60.0" w:type="dxa"/>
              <w:left w:w="60.0" w:type="dxa"/>
              <w:bottom w:w="60.0" w:type="dxa"/>
              <w:right w:w="60.0" w:type="dxa"/>
            </w:tcMar>
            <w:vAlign w:val="top"/>
          </w:tcPr>
          <w:p w:rsidR="00000000" w:rsidDel="00000000" w:rsidP="00000000" w:rsidRDefault="00000000" w:rsidRPr="00000000" w14:paraId="00000058">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top"/>
          </w:tcPr>
          <w:p w:rsidR="00000000" w:rsidDel="00000000" w:rsidP="00000000" w:rsidRDefault="00000000" w:rsidRPr="00000000" w14:paraId="00000059">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db100" w:val="clear"/>
            <w:tcMar>
              <w:top w:w="60.0" w:type="dxa"/>
              <w:left w:w="60.0" w:type="dxa"/>
              <w:bottom w:w="60.0" w:type="dxa"/>
              <w:right w:w="60.0" w:type="dxa"/>
            </w:tcMar>
            <w:vAlign w:val="top"/>
          </w:tcPr>
          <w:p w:rsidR="00000000" w:rsidDel="00000000" w:rsidP="00000000" w:rsidRDefault="00000000" w:rsidRPr="00000000" w14:paraId="0000005A">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Evaluación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widowControl w:val="0"/>
              <w:spacing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widowControl w:val="0"/>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widowControl w:val="0"/>
              <w:spacing w:line="276" w:lineRule="auto"/>
              <w:jc w:val="center"/>
              <w:rPr>
                <w:rFonts w:ascii="Arial" w:cs="Arial" w:eastAsia="Arial" w:hAnsi="Arial"/>
                <w:sz w:val="18"/>
                <w:szCs w:val="18"/>
              </w:rPr>
            </w:pPr>
            <w:r w:rsidDel="00000000" w:rsidR="00000000" w:rsidRPr="00000000">
              <w:rPr>
                <w:rtl w:val="0"/>
              </w:rPr>
            </w:r>
          </w:p>
        </w:tc>
      </w:tr>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ee220c" w:val="clear"/>
            <w:tcMar>
              <w:top w:w="60.0" w:type="dxa"/>
              <w:left w:w="60.0" w:type="dxa"/>
              <w:bottom w:w="60.0" w:type="dxa"/>
              <w:right w:w="60.0" w:type="dxa"/>
            </w:tcMar>
            <w:vAlign w:val="top"/>
          </w:tcPr>
          <w:p w:rsidR="00000000" w:rsidDel="00000000" w:rsidP="00000000" w:rsidRDefault="00000000" w:rsidRPr="00000000" w14:paraId="0000005E">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Proyectista</w:t>
            </w:r>
          </w:p>
        </w:tc>
        <w:tc>
          <w:tcPr>
            <w:tcBorders>
              <w:top w:color="000000" w:space="0" w:sz="6" w:val="single"/>
              <w:left w:color="000000" w:space="0" w:sz="6" w:val="single"/>
              <w:bottom w:color="000000" w:space="0" w:sz="6" w:val="single"/>
              <w:right w:color="000000" w:space="0" w:sz="6" w:val="single"/>
            </w:tcBorders>
            <w:shd w:fill="ff0000" w:val="clear"/>
            <w:tcMar>
              <w:top w:w="60.0" w:type="dxa"/>
              <w:left w:w="60.0" w:type="dxa"/>
              <w:bottom w:w="60.0" w:type="dxa"/>
              <w:right w:w="60.0" w:type="dxa"/>
            </w:tcMar>
            <w:vAlign w:val="top"/>
          </w:tcPr>
          <w:p w:rsidR="00000000" w:rsidDel="00000000" w:rsidP="00000000" w:rsidRDefault="00000000" w:rsidRPr="00000000" w14:paraId="00000061">
            <w:pPr>
              <w:widowControl w:val="0"/>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PME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62">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Argumentación</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63">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Validación</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64">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Realimentación</w:t>
            </w:r>
          </w:p>
        </w:tc>
      </w:tr>
      <w:tr>
        <w:trPr>
          <w:trHeight w:val="360" w:hRule="atLeast"/>
        </w:trPr>
        <w:tc>
          <w:tcPr>
            <w:gridSpan w:val="3"/>
            <w:tcBorders>
              <w:top w:color="000000" w:space="0" w:sz="6" w:val="single"/>
              <w:left w:color="000000" w:space="0" w:sz="6" w:val="single"/>
              <w:bottom w:color="000000" w:space="0" w:sz="6" w:val="single"/>
              <w:right w:color="000000" w:space="0" w:sz="6" w:val="single"/>
            </w:tcBorders>
            <w:shd w:fill="00a2ff" w:val="clear"/>
            <w:tcMar>
              <w:top w:w="60.0" w:type="dxa"/>
              <w:left w:w="60.0" w:type="dxa"/>
              <w:bottom w:w="60.0" w:type="dxa"/>
              <w:right w:w="60.0" w:type="dxa"/>
            </w:tcMar>
            <w:vAlign w:val="top"/>
          </w:tcPr>
          <w:p w:rsidR="00000000" w:rsidDel="00000000" w:rsidP="00000000" w:rsidRDefault="00000000" w:rsidRPr="00000000" w14:paraId="00000065">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Plataforma</w:t>
            </w:r>
          </w:p>
        </w:tc>
        <w:tc>
          <w:tcPr>
            <w:tcBorders>
              <w:top w:color="000000" w:space="0" w:sz="6" w:val="single"/>
              <w:left w:color="000000" w:space="0" w:sz="6" w:val="single"/>
              <w:bottom w:color="000000" w:space="0" w:sz="6" w:val="single"/>
              <w:right w:color="000000" w:space="0" w:sz="6" w:val="single"/>
            </w:tcBorders>
            <w:shd w:fill="ffff00" w:val="clear"/>
            <w:tcMar>
              <w:top w:w="60.0" w:type="dxa"/>
              <w:left w:w="60.0" w:type="dxa"/>
              <w:bottom w:w="60.0" w:type="dxa"/>
              <w:right w:w="60.0" w:type="dxa"/>
            </w:tcMar>
            <w:vAlign w:val="top"/>
          </w:tcPr>
          <w:p w:rsidR="00000000" w:rsidDel="00000000" w:rsidP="00000000" w:rsidRDefault="00000000" w:rsidRPr="00000000" w14:paraId="00000068">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Observación</w:t>
            </w:r>
          </w:p>
        </w:tc>
        <w:tc>
          <w:tcPr>
            <w:tcBorders>
              <w:top w:color="000000" w:space="0" w:sz="6" w:val="single"/>
              <w:left w:color="000000" w:space="0" w:sz="6" w:val="single"/>
              <w:bottom w:color="000000" w:space="0" w:sz="6" w:val="single"/>
              <w:right w:color="000000" w:space="0" w:sz="6" w:val="single"/>
            </w:tcBorders>
            <w:shd w:fill="ffff00" w:val="clear"/>
            <w:tcMar>
              <w:top w:w="60.0" w:type="dxa"/>
              <w:left w:w="60.0" w:type="dxa"/>
              <w:bottom w:w="60.0" w:type="dxa"/>
              <w:right w:w="60.0" w:type="dxa"/>
            </w:tcMar>
            <w:vAlign w:val="center"/>
          </w:tcPr>
          <w:p w:rsidR="00000000" w:rsidDel="00000000" w:rsidP="00000000" w:rsidRDefault="00000000" w:rsidRPr="00000000" w14:paraId="00000069">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Entrenamiento</w:t>
            </w:r>
          </w:p>
        </w:tc>
        <w:tc>
          <w:tcPr>
            <w:tcBorders>
              <w:top w:color="000000" w:space="0" w:sz="6" w:val="single"/>
              <w:left w:color="000000" w:space="0" w:sz="6" w:val="single"/>
              <w:bottom w:color="000000" w:space="0" w:sz="6" w:val="single"/>
              <w:right w:color="000000" w:space="0" w:sz="6" w:val="single"/>
            </w:tcBorders>
            <w:shd w:fill="f8ba00" w:val="clear"/>
            <w:tcMar>
              <w:top w:w="60.0" w:type="dxa"/>
              <w:left w:w="60.0" w:type="dxa"/>
              <w:bottom w:w="60.0" w:type="dxa"/>
              <w:right w:w="60.0" w:type="dxa"/>
            </w:tcMar>
            <w:vAlign w:val="center"/>
          </w:tcPr>
          <w:p w:rsidR="00000000" w:rsidDel="00000000" w:rsidP="00000000" w:rsidRDefault="00000000" w:rsidRPr="00000000" w14:paraId="0000006A">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Coordinación</w:t>
            </w:r>
          </w:p>
        </w:tc>
        <w:tc>
          <w:tcPr>
            <w:tcBorders>
              <w:top w:color="000000" w:space="0" w:sz="6" w:val="single"/>
              <w:left w:color="000000" w:space="0" w:sz="6" w:val="single"/>
              <w:bottom w:color="000000" w:space="0" w:sz="6" w:val="single"/>
              <w:right w:color="000000" w:space="0" w:sz="6" w:val="single"/>
            </w:tcBorders>
            <w:shd w:fill="f8ba00" w:val="clear"/>
            <w:tcMar>
              <w:top w:w="60.0" w:type="dxa"/>
              <w:left w:w="60.0" w:type="dxa"/>
              <w:bottom w:w="60.0" w:type="dxa"/>
              <w:right w:w="60.0" w:type="dxa"/>
            </w:tcMar>
            <w:vAlign w:val="center"/>
          </w:tcPr>
          <w:p w:rsidR="00000000" w:rsidDel="00000000" w:rsidP="00000000" w:rsidRDefault="00000000" w:rsidRPr="00000000" w14:paraId="0000006B">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Evaluación</w:t>
            </w:r>
          </w:p>
        </w:tc>
      </w:tr>
    </w:tbl>
    <w:p w:rsidR="00000000" w:rsidDel="00000000" w:rsidP="00000000" w:rsidRDefault="00000000" w:rsidRPr="00000000" w14:paraId="0000006C">
      <w:pPr>
        <w:spacing w:line="276" w:lineRule="auto"/>
        <w:jc w:val="both"/>
        <w:rPr>
          <w:rFonts w:ascii="Arial" w:cs="Arial" w:eastAsia="Arial" w:hAnsi="Arial"/>
        </w:rPr>
      </w:pPr>
      <w:r w:rsidDel="00000000" w:rsidR="00000000" w:rsidRPr="00000000">
        <w:rPr>
          <w:rFonts w:ascii="Arial" w:cs="Arial" w:eastAsia="Arial" w:hAnsi="Arial"/>
          <w:rtl w:val="0"/>
        </w:rPr>
        <w:t xml:space="preserve">Durante esta construcción se trató un caso por solicitud de Jeferson Caicedo para situar el rol de </w:t>
      </w:r>
      <w:r w:rsidDel="00000000" w:rsidR="00000000" w:rsidRPr="00000000">
        <w:rPr>
          <w:rFonts w:ascii="Arial" w:cs="Arial" w:eastAsia="Arial" w:hAnsi="Arial"/>
          <w:b w:val="1"/>
          <w:rtl w:val="0"/>
        </w:rPr>
        <w:t xml:space="preserve">mediación de información</w:t>
      </w:r>
      <w:r w:rsidDel="00000000" w:rsidR="00000000" w:rsidRPr="00000000">
        <w:rPr>
          <w:rFonts w:ascii="Arial" w:cs="Arial" w:eastAsia="Arial" w:hAnsi="Arial"/>
          <w:rtl w:val="0"/>
        </w:rPr>
        <w:t xml:space="preserve"> del proyecto OPC entre la respuesta institucional y la comunitaria. Este es el caso de combinar datos y criterios de una señora de un barrio con los de los observatorios de la administración municipal (CAM).</w:t>
      </w:r>
    </w:p>
    <w:p w:rsidR="00000000" w:rsidDel="00000000" w:rsidP="00000000" w:rsidRDefault="00000000" w:rsidRPr="00000000" w14:paraId="0000006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rPr>
      </w:pPr>
      <w:r w:rsidDel="00000000" w:rsidR="00000000" w:rsidRPr="00000000">
        <w:rPr>
          <w:rFonts w:ascii="Arial" w:cs="Arial" w:eastAsia="Arial" w:hAnsi="Arial"/>
          <w:rtl w:val="0"/>
        </w:rPr>
        <w:t xml:space="preserve">Esto permitió retomar el desafío de innovación: “como combinar datos y criterios de la comunidad para comprender, negociar y resolver sus problemas de Paz”. En especial para hacer explícito que combina datos y criterios de la comunidad significa combinarlos con datos y criterios de la respuesta institucional. En especial matiza el problema de combinar la respuesta comunitaria con la institucional.</w:t>
      </w:r>
    </w:p>
    <w:p w:rsidR="00000000" w:rsidDel="00000000" w:rsidP="00000000" w:rsidRDefault="00000000" w:rsidRPr="00000000" w14:paraId="0000006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line="276" w:lineRule="auto"/>
        <w:jc w:val="both"/>
        <w:rPr>
          <w:rFonts w:ascii="Arial" w:cs="Arial" w:eastAsia="Arial" w:hAnsi="Arial"/>
        </w:rPr>
      </w:pPr>
      <w:r w:rsidDel="00000000" w:rsidR="00000000" w:rsidRPr="00000000">
        <w:rPr>
          <w:rFonts w:ascii="Arial" w:cs="Arial" w:eastAsia="Arial" w:hAnsi="Arial"/>
          <w:rtl w:val="0"/>
        </w:rPr>
        <w:t xml:space="preserve">A partir de siguientes preguntas de J.CAICEDO: </w:t>
      </w:r>
      <w:r w:rsidDel="00000000" w:rsidR="00000000" w:rsidRPr="00000000">
        <w:rPr>
          <w:rFonts w:ascii="Arial" w:cs="Arial" w:eastAsia="Arial" w:hAnsi="Arial"/>
          <w:b w:val="1"/>
          <w:rtl w:val="0"/>
        </w:rPr>
        <w:t xml:space="preserve">¿Que sabe el CAM, que la señora no sabe del Barrio? ¿Que sabe la señora, que el CAM no sabe del Barrio?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 identificó una primera propuesta valor: dar voz, lugar y visibilidad a lo que sabe la señora. Se identificó la segunda propuesta de valor: dar escala y re-utilización a lo que sabe el CAM. </w:t>
      </w:r>
    </w:p>
    <w:p w:rsidR="00000000" w:rsidDel="00000000" w:rsidP="00000000" w:rsidRDefault="00000000" w:rsidRPr="00000000" w14:paraId="00000071">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rPr>
      </w:pPr>
      <w:r w:rsidDel="00000000" w:rsidR="00000000" w:rsidRPr="00000000">
        <w:rPr>
          <w:rFonts w:ascii="Arial" w:cs="Arial" w:eastAsia="Arial" w:hAnsi="Arial"/>
          <w:rtl w:val="0"/>
        </w:rPr>
        <w:t xml:space="preserve">En general se identificó que el cliente es un ciudadano que no se auto-reconoce como técnico y el cliente es un funcionario institución pública o oficial de una organización privadas que es reconocido por su rol técnico. En ambos en ambos casos el cliente busca darle voz y visibilidad a lo que sabe. </w:t>
      </w:r>
    </w:p>
    <w:p w:rsidR="00000000" w:rsidDel="00000000" w:rsidP="00000000" w:rsidRDefault="00000000" w:rsidRPr="00000000" w14:paraId="0000007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rPr>
      </w:pPr>
      <w:r w:rsidDel="00000000" w:rsidR="00000000" w:rsidRPr="00000000">
        <w:rPr>
          <w:rFonts w:ascii="Arial" w:cs="Arial" w:eastAsia="Arial" w:hAnsi="Arial"/>
          <w:rtl w:val="0"/>
        </w:rPr>
        <w:t xml:space="preserve">Ejemplo 1: señora profesora en un barrio, tiene datos y criterio pero necesita darle fuerza a sus argumentos. </w:t>
      </w:r>
    </w:p>
    <w:p w:rsidR="00000000" w:rsidDel="00000000" w:rsidP="00000000" w:rsidRDefault="00000000" w:rsidRPr="00000000" w14:paraId="00000075">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jc w:val="both"/>
        <w:rPr>
          <w:rFonts w:ascii="Arial" w:cs="Arial" w:eastAsia="Arial" w:hAnsi="Arial"/>
        </w:rPr>
      </w:pPr>
      <w:r w:rsidDel="00000000" w:rsidR="00000000" w:rsidRPr="00000000">
        <w:rPr>
          <w:rFonts w:ascii="Arial" w:cs="Arial" w:eastAsia="Arial" w:hAnsi="Arial"/>
          <w:rtl w:val="0"/>
        </w:rPr>
        <w:t xml:space="preserve">Ejemplo 2: técnico en el desarrollo de un proyecto institucional o privado necesita darle visibilidad a su proyecto. </w:t>
      </w:r>
    </w:p>
    <w:p w:rsidR="00000000" w:rsidDel="00000000" w:rsidP="00000000" w:rsidRDefault="00000000" w:rsidRPr="00000000" w14:paraId="0000007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rPr>
      </w:pPr>
      <w:r w:rsidDel="00000000" w:rsidR="00000000" w:rsidRPr="00000000">
        <w:rPr>
          <w:rFonts w:ascii="Arial" w:cs="Arial" w:eastAsia="Arial" w:hAnsi="Arial"/>
          <w:rtl w:val="0"/>
        </w:rPr>
        <w:t xml:space="preserve">La pregunta común es ¿Cómo facilitar que este individuo pueda trabajar en grupo, coordinar sus grupos de personas para que aprenden para apoyarlo en su misión de adquirir datos, construir argumentos con datos  y general producir un informe sobre el impacto de un proyecto en su territorio?</w:t>
      </w:r>
    </w:p>
    <w:p w:rsidR="00000000" w:rsidDel="00000000" w:rsidP="00000000" w:rsidRDefault="00000000" w:rsidRPr="00000000" w14:paraId="0000007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OBSERVACIONES GENERALES (Propuestas, Cambios y/ó  Adiciones):</w:t>
      </w:r>
    </w:p>
    <w:p w:rsidR="00000000" w:rsidDel="00000000" w:rsidP="00000000" w:rsidRDefault="00000000" w:rsidRPr="00000000" w14:paraId="0000007C">
      <w:pPr>
        <w:jc w:val="both"/>
        <w:rPr>
          <w:rFonts w:ascii="Arial" w:cs="Arial" w:eastAsia="Arial" w:hAnsi="Arial"/>
          <w:vertAlign w:val="baseline"/>
        </w:rPr>
      </w:pPr>
      <w:r w:rsidDel="00000000" w:rsidR="00000000" w:rsidRPr="00000000">
        <w:rPr>
          <w:rtl w:val="0"/>
        </w:rPr>
      </w:r>
    </w:p>
    <w:tbl>
      <w:tblPr>
        <w:tblStyle w:val="Table3"/>
        <w:tblW w:w="9844.0" w:type="dxa"/>
        <w:jc w:val="left"/>
        <w:tblInd w:w="108.0" w:type="pct"/>
        <w:tblLayout w:type="fixed"/>
        <w:tblLook w:val="0000"/>
      </w:tblPr>
      <w:tblGrid>
        <w:gridCol w:w="5387"/>
        <w:gridCol w:w="2426"/>
        <w:gridCol w:w="2031"/>
        <w:tblGridChange w:id="0">
          <w:tblGrid>
            <w:gridCol w:w="5387"/>
            <w:gridCol w:w="2426"/>
            <w:gridCol w:w="2031"/>
          </w:tblGrid>
        </w:tblGridChange>
      </w:tblGrid>
      <w:tr>
        <w:trPr>
          <w:trHeight w:val="2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TAREAS Y COMPROMISOS  ESTABLECIDOS EN ESTA </w:t>
            </w:r>
            <w:r w:rsidDel="00000000" w:rsidR="00000000" w:rsidRPr="00000000">
              <w:rPr>
                <w:rFonts w:ascii="Arial" w:cs="Arial" w:eastAsia="Arial" w:hAnsi="Arial"/>
                <w:rtl w:val="0"/>
              </w:rPr>
              <w:t xml:space="preserve">REUNIÓN</w:t>
            </w:r>
            <w:r w:rsidDel="00000000" w:rsidR="00000000" w:rsidRPr="00000000">
              <w:rPr>
                <w:rtl w:val="0"/>
              </w:rPr>
            </w:r>
          </w:p>
        </w:tc>
      </w:tr>
      <w:tr>
        <w:trPr>
          <w:trHeight w:val="520" w:hRule="atLeast"/>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QUÉ HACER</w:t>
            </w:r>
          </w:p>
        </w:tc>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RESPONSABLE</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FECHA</w:t>
            </w:r>
          </w:p>
          <w:p w:rsidR="00000000" w:rsidDel="00000000" w:rsidP="00000000" w:rsidRDefault="00000000" w:rsidRPr="00000000" w14:paraId="0000008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COMPROMISO</w:t>
            </w:r>
          </w:p>
        </w:tc>
      </w:tr>
      <w:tr>
        <w:trPr>
          <w:trHeight w:val="280" w:hRule="atLeast"/>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7">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8">
            <w:pPr>
              <w:jc w:val="center"/>
              <w:rPr>
                <w:rFonts w:ascii="Arial" w:cs="Arial" w:eastAsia="Arial" w:hAnsi="Arial"/>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N/A</w:t>
            </w:r>
          </w:p>
          <w:p w:rsidR="00000000" w:rsidDel="00000000" w:rsidP="00000000" w:rsidRDefault="00000000" w:rsidRPr="00000000" w14:paraId="0000008A">
            <w:pPr>
              <w:jc w:val="cente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N/A</w:t>
            </w:r>
          </w:p>
        </w:tc>
      </w:tr>
    </w:tbl>
    <w:p w:rsidR="00000000" w:rsidDel="00000000" w:rsidP="00000000" w:rsidRDefault="00000000" w:rsidRPr="00000000" w14:paraId="0000008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E">
      <w:pPr>
        <w:tabs>
          <w:tab w:val="left" w:pos="1155"/>
        </w:tabs>
        <w:rPr>
          <w:rFonts w:ascii="Arial" w:cs="Arial" w:eastAsia="Arial" w:hAnsi="Arial"/>
        </w:rPr>
      </w:pPr>
      <w:r w:rsidDel="00000000" w:rsidR="00000000" w:rsidRPr="00000000">
        <w:rPr>
          <w:rtl w:val="0"/>
        </w:rPr>
      </w:r>
    </w:p>
    <w:p w:rsidR="00000000" w:rsidDel="00000000" w:rsidP="00000000" w:rsidRDefault="00000000" w:rsidRPr="00000000" w14:paraId="0000008F">
      <w:pPr>
        <w:tabs>
          <w:tab w:val="left" w:pos="1155"/>
        </w:tabs>
        <w:rPr>
          <w:rFonts w:ascii="Arial" w:cs="Arial" w:eastAsia="Arial" w:hAnsi="Arial"/>
        </w:rPr>
      </w:pPr>
      <w:r w:rsidDel="00000000" w:rsidR="00000000" w:rsidRPr="00000000">
        <w:rPr>
          <w:rFonts w:ascii="Arial" w:cs="Arial" w:eastAsia="Arial" w:hAnsi="Arial"/>
          <w:rtl w:val="0"/>
        </w:rPr>
        <w:t xml:space="preserve">Firmas (responsables)</w:t>
        <w:tab/>
        <w:tab/>
        <w:tab/>
        <w:tab/>
        <w:tab/>
        <w:tab/>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tl w:val="0"/>
        </w:rPr>
      </w:r>
    </w:p>
    <w:tbl>
      <w:tblPr>
        <w:tblStyle w:val="Table4"/>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5025"/>
        <w:tblGridChange w:id="0">
          <w:tblGrid>
            <w:gridCol w:w="4935"/>
            <w:gridCol w:w="502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b w:val="1"/>
                <w:rtl w:val="0"/>
              </w:rPr>
              <w:t xml:space="preserve">Mauricio Sedano</w:t>
            </w:r>
            <w:r w:rsidDel="00000000" w:rsidR="00000000" w:rsidRPr="00000000">
              <w:rPr>
                <w:rFonts w:ascii="Arial" w:cs="Arial" w:eastAsia="Arial" w:hAnsi="Arial"/>
                <w:rtl w:val="0"/>
              </w:rPr>
              <w:tab/>
              <w:tab/>
              <w:tab/>
              <w:tab/>
            </w:r>
            <w:r w:rsidDel="00000000" w:rsidR="00000000" w:rsidRPr="00000000">
              <w:rPr>
                <w:rFonts w:ascii="Arial" w:cs="Arial" w:eastAsia="Arial" w:hAnsi="Arial"/>
                <w:sz w:val="22"/>
                <w:szCs w:val="22"/>
                <w:rtl w:val="0"/>
              </w:rPr>
              <w:t xml:space="preserve">Profesional Contratista</w:t>
              <w:tab/>
              <w:tab/>
            </w:r>
          </w:p>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Secretaría de Paz y Cultura Ciudadana</w:t>
              <w:tab/>
              <w:t xml:space="preserve">Observatorio de Paz y Convivencia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b w:val="1"/>
              </w:rPr>
            </w:pPr>
            <w:r w:rsidDel="00000000" w:rsidR="00000000" w:rsidRPr="00000000">
              <w:rPr>
                <w:rFonts w:ascii="Arial" w:cs="Arial" w:eastAsia="Arial" w:hAnsi="Arial"/>
                <w:b w:val="1"/>
                <w:rtl w:val="0"/>
              </w:rPr>
              <w:t xml:space="preserve">Ana M. Galvez</w:t>
            </w:r>
          </w:p>
          <w:p w:rsidR="00000000" w:rsidDel="00000000" w:rsidP="00000000" w:rsidRDefault="00000000" w:rsidRPr="00000000" w14:paraId="00000095">
            <w:pPr>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sz w:val="22"/>
                <w:szCs w:val="22"/>
                <w:rtl w:val="0"/>
              </w:rPr>
              <w:t xml:space="preserve">Profesional Contratista</w:t>
            </w:r>
            <w:r w:rsidDel="00000000" w:rsidR="00000000" w:rsidRPr="00000000">
              <w:rPr>
                <w:rtl w:val="0"/>
              </w:rPr>
            </w:r>
          </w:p>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Secretaría de Paz y Cultura Ciudadana</w:t>
            </w:r>
          </w:p>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Observatorio de Paz y Convivencia </w:t>
            </w:r>
          </w:p>
        </w:tc>
      </w:tr>
    </w:tbl>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Se anexa listado de asistencia compuesto por 1 folio.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Elaboró: Ana María Gálvez Yepes- Profesional Contratista</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Revisó: Mauricio Sedano- Profesional Contratista</w:t>
      </w:r>
      <w:r w:rsidDel="00000000" w:rsidR="00000000" w:rsidRPr="00000000">
        <w:rPr>
          <w:rtl w:val="0"/>
        </w:rPr>
      </w:r>
    </w:p>
    <w:sectPr>
      <w:headerReference r:id="rId6" w:type="default"/>
      <w:footerReference r:id="rId7" w:type="default"/>
      <w:pgSz w:h="15840" w:w="12240"/>
      <w:pgMar w:bottom="1418" w:top="1191" w:left="1134" w:right="1134" w:header="1134"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 la Administración Central del Municipio de Santiago de Cali. Prohibida su alteración o modificación por cualquier medio, sin previa autorización del Alcalde.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9891.000000000002" w:type="dxa"/>
      <w:jc w:val="left"/>
      <w:tblInd w:w="108.0" w:type="pct"/>
      <w:tblLayout w:type="fixed"/>
      <w:tblLook w:val="0000"/>
    </w:tblPr>
    <w:tblGrid>
      <w:gridCol w:w="2489"/>
      <w:gridCol w:w="4738"/>
      <w:gridCol w:w="1417"/>
      <w:gridCol w:w="1247"/>
      <w:tblGridChange w:id="0">
        <w:tblGrid>
          <w:gridCol w:w="2489"/>
          <w:gridCol w:w="4738"/>
          <w:gridCol w:w="1417"/>
          <w:gridCol w:w="1247"/>
        </w:tblGrid>
      </w:tblGridChange>
    </w:tblGrid>
    <w:tr>
      <w:trPr>
        <w:trHeight w:val="520" w:hRule="atLeast"/>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0" distT="0" distL="114300" distR="114300">
                <wp:extent cx="1076960" cy="82804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76960" cy="8280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GESTIÓN TECNOLÓGICA Y DE LA INFORMACIÓN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GESTIÓN DOCUMENTAL</w:t>
          </w:r>
          <w:r w:rsidDel="00000000" w:rsidR="00000000" w:rsidRPr="00000000">
            <w:rPr>
              <w:rtl w:val="0"/>
            </w:rPr>
          </w:r>
        </w:p>
      </w:tc>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GESTIÓN Y CONTROL INTEGRADOS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(SISTEDA, SGC y MECI)</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ACTA DE REUNIÓN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vertAlign w:val="baseline"/>
            </w:rPr>
          </w:pPr>
          <w:r w:rsidDel="00000000" w:rsidR="00000000" w:rsidRPr="00000000">
            <w:rPr>
              <w:rFonts w:ascii="Arial" w:cs="Arial" w:eastAsia="Arial" w:hAnsi="Arial"/>
              <w:sz w:val="18"/>
              <w:szCs w:val="18"/>
              <w:vertAlign w:val="baseline"/>
              <w:rtl w:val="0"/>
            </w:rPr>
            <w:t xml:space="preserve">MAGT04.03.14.12.P01.F04</w:t>
          </w:r>
          <w:r w:rsidDel="00000000" w:rsidR="00000000" w:rsidRPr="00000000">
            <w:rPr>
              <w:rtl w:val="0"/>
            </w:rPr>
          </w:r>
        </w:p>
      </w:tc>
    </w:tr>
    <w:tr>
      <w:trPr>
        <w:trHeight w:val="380" w:hRule="atLeast"/>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tl w:val="0"/>
            </w:rPr>
          </w:r>
        </w:p>
      </w:tc>
    </w:tr>
    <w:t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06/may/2015</w:t>
          </w:r>
          <w:r w:rsidDel="00000000" w:rsidR="00000000" w:rsidRPr="00000000">
            <w:rPr>
              <w:rtl w:val="0"/>
            </w:rPr>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