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7.0" w:type="dxa"/>
        <w:jc w:val="left"/>
        <w:tblInd w:w="70.0" w:type="pct"/>
        <w:tblLayout w:type="fixed"/>
        <w:tblLook w:val="0000"/>
      </w:tblPr>
      <w:tblGrid>
        <w:gridCol w:w="5858"/>
        <w:gridCol w:w="1844"/>
        <w:gridCol w:w="2225"/>
        <w:tblGridChange w:id="0">
          <w:tblGrid>
            <w:gridCol w:w="5858"/>
            <w:gridCol w:w="1844"/>
            <w:gridCol w:w="2225"/>
          </w:tblGrid>
        </w:tblGridChange>
      </w:tblGrid>
      <w:tr>
        <w:trPr>
          <w:trHeight w:val="2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ACTA No. 4164.010.14.33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08/FEB/2018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HORA INICIAL: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8:00 am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HORA FINAL: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3:00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pm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OBJETIVO: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Diseñar la plataforma de observación-coordinación del proyecto OPC, metodología de innovación digital - Jornada 4 de 4.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LUGAR: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Auditorio 114 Universidad San Buenaventura Cali.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ASISTENTES: </w:t>
      </w:r>
      <w:r w:rsidDel="00000000" w:rsidR="00000000" w:rsidRPr="00000000">
        <w:rPr>
          <w:rFonts w:ascii="Arial" w:cs="Arial" w:eastAsia="Arial" w:hAnsi="Arial"/>
          <w:rtl w:val="0"/>
        </w:rPr>
        <w:t xml:space="preserve">Meriyeinns Cifuentes, Carlos Ocoro, Karol Benitez, Ana M Galvez, Mauricio Sedano, Juan M. Torres, Andrés Suárez, Gregory Rivera, Sebastian Rios, Liliana Quenan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(Ver listado de asistencia)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AUSENTES: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Fabian Mendez, Luis Bernal, Monica Nazarith, Liliana Quenan, Sebastian Rios, Bertha Churi, Sergio Gonzalias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INVITADO: </w:t>
      </w:r>
      <w:r w:rsidDel="00000000" w:rsidR="00000000" w:rsidRPr="00000000">
        <w:rPr>
          <w:rFonts w:ascii="Arial" w:cs="Arial" w:eastAsia="Arial" w:hAnsi="Arial"/>
          <w:rtl w:val="0"/>
        </w:rPr>
        <w:t xml:space="preserve">Jessica Zaidens / Equipo de 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ORDEN DEL DÍA: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Presentación del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compilado generado de la </w:t>
      </w:r>
      <w:r w:rsidDel="00000000" w:rsidR="00000000" w:rsidRPr="00000000">
        <w:rPr>
          <w:rFonts w:ascii="Arial" w:cs="Arial" w:eastAsia="Arial" w:hAnsi="Arial"/>
          <w:rtl w:val="0"/>
        </w:rPr>
        <w:t xml:space="preserve">Jornada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3: modelo de negocio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Desarrollo </w:t>
      </w:r>
      <w:r w:rsidDel="00000000" w:rsidR="00000000" w:rsidRPr="00000000">
        <w:rPr>
          <w:rFonts w:ascii="Arial" w:cs="Arial" w:eastAsia="Arial" w:hAnsi="Arial"/>
          <w:rtl w:val="0"/>
        </w:rPr>
        <w:t xml:space="preserve">de la Jornada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4</w:t>
      </w:r>
      <w:r w:rsidDel="00000000" w:rsidR="00000000" w:rsidRPr="00000000">
        <w:rPr>
          <w:rFonts w:ascii="Arial" w:cs="Arial" w:eastAsia="Arial" w:hAnsi="Arial"/>
          <w:rtl w:val="0"/>
        </w:rPr>
        <w:t xml:space="preserve">: co-creación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Socialización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Revisión de la metodología aplicada durante de la Jornada 4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DESARROLLO: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M.SEDANO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dió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inicio a la </w:t>
      </w:r>
      <w:r w:rsidDel="00000000" w:rsidR="00000000" w:rsidRPr="00000000">
        <w:rPr>
          <w:rFonts w:ascii="Arial" w:cs="Arial" w:eastAsia="Arial" w:hAnsi="Arial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ornada 4 </w:t>
      </w:r>
      <w:r w:rsidDel="00000000" w:rsidR="00000000" w:rsidRPr="00000000">
        <w:rPr>
          <w:rFonts w:ascii="Arial" w:cs="Arial" w:eastAsia="Arial" w:hAnsi="Arial"/>
          <w:rtl w:val="0"/>
        </w:rPr>
        <w:t xml:space="preserve">proyectando una matriz que combinó todos los elementos de modelo de negocio, identificados con los siete grupos de diseño durante la Jornada 3. 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Continuó presentando la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información </w:t>
      </w:r>
      <w:r w:rsidDel="00000000" w:rsidR="00000000" w:rsidRPr="00000000">
        <w:rPr>
          <w:rFonts w:ascii="Arial" w:cs="Arial" w:eastAsia="Arial" w:hAnsi="Arial"/>
          <w:rtl w:val="0"/>
        </w:rPr>
        <w:t xml:space="preserve">compilada, ajustando y complementando con la realimentación y el intercambio de los participantes.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ejemplo de lo anterior, fue completar el tipo de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relación que se espera con el observador: una relación duradera en el tiempo y que permita referir a otras personas</w:t>
      </w:r>
      <w:r w:rsidDel="00000000" w:rsidR="00000000" w:rsidRPr="00000000">
        <w:rPr>
          <w:rFonts w:ascii="Arial" w:cs="Arial" w:eastAsia="Arial" w:hAnsi="Arial"/>
          <w:rtl w:val="0"/>
        </w:rPr>
        <w:t xml:space="preserve">. Al completar esta premisa se llegó a la consideración de implementar un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banco de horas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compensar las contribuciones de los observadores voluntarios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. V</w:t>
      </w:r>
      <w:r w:rsidDel="00000000" w:rsidR="00000000" w:rsidRPr="00000000">
        <w:rPr>
          <w:rFonts w:ascii="Arial" w:cs="Arial" w:eastAsia="Arial" w:hAnsi="Arial"/>
          <w:rtl w:val="0"/>
        </w:rPr>
        <w:t xml:space="preserve">er compilado_modelo_NEGOCIO-05FEB18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Durante el desarrollo de la Jornada 4 intervino Jessica Zaidens y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el equipo de </w:t>
      </w:r>
      <w:r w:rsidDel="00000000" w:rsidR="00000000" w:rsidRPr="00000000">
        <w:rPr>
          <w:rFonts w:ascii="Arial" w:cs="Arial" w:eastAsia="Arial" w:hAnsi="Arial"/>
          <w:rtl w:val="0"/>
        </w:rPr>
        <w:t xml:space="preserve">comunicaciones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de la </w:t>
      </w:r>
      <w:r w:rsidDel="00000000" w:rsidR="00000000" w:rsidRPr="00000000">
        <w:rPr>
          <w:rFonts w:ascii="Arial" w:cs="Arial" w:eastAsia="Arial" w:hAnsi="Arial"/>
          <w:rtl w:val="0"/>
        </w:rPr>
        <w:t xml:space="preserve">Alcaldía registrando fotos, videos y realizando entrevistas a los participantes. M.SEDANO introdujo al equipo de comunicaciones y presenta el material de co-creación (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lienzo</w:t>
      </w:r>
      <w:r w:rsidDel="00000000" w:rsidR="00000000" w:rsidRPr="00000000">
        <w:rPr>
          <w:rFonts w:ascii="Arial" w:cs="Arial" w:eastAsia="Arial" w:hAnsi="Arial"/>
          <w:rtl w:val="0"/>
        </w:rPr>
        <w:t xml:space="preserve">) y da inicio a la actividad y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con el que se trabajará en la actividad, luego da inicio a la actividad conservando los grupos con los que se ha trabajado las actividades anteriores. 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276" w:lineRule="auto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Transcurrido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el tiempo asignado para la actividad, </w:t>
      </w:r>
      <w:r w:rsidDel="00000000" w:rsidR="00000000" w:rsidRPr="00000000">
        <w:rPr>
          <w:rFonts w:ascii="Arial" w:cs="Arial" w:eastAsia="Arial" w:hAnsi="Arial"/>
          <w:rtl w:val="0"/>
        </w:rPr>
        <w:t xml:space="preserve">M.SEDANO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da inicio a la comp</w:t>
      </w:r>
      <w:r w:rsidDel="00000000" w:rsidR="00000000" w:rsidRPr="00000000">
        <w:rPr>
          <w:rFonts w:ascii="Arial" w:cs="Arial" w:eastAsia="Arial" w:hAnsi="Arial"/>
          <w:rtl w:val="0"/>
        </w:rPr>
        <w:t xml:space="preserve">ilación de los resultados socializando los aspectos definidos por cada grupo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. Por medio de </w:t>
      </w:r>
      <w:r w:rsidDel="00000000" w:rsidR="00000000" w:rsidRPr="00000000">
        <w:rPr>
          <w:rFonts w:ascii="Arial" w:cs="Arial" w:eastAsia="Arial" w:hAnsi="Arial"/>
          <w:rtl w:val="0"/>
        </w:rPr>
        <w:t xml:space="preserve">esta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socialización se identificó </w:t>
      </w:r>
      <w:r w:rsidDel="00000000" w:rsidR="00000000" w:rsidRPr="00000000">
        <w:rPr>
          <w:rFonts w:ascii="Arial" w:cs="Arial" w:eastAsia="Arial" w:hAnsi="Arial"/>
          <w:rtl w:val="0"/>
        </w:rPr>
        <w:t xml:space="preserve">lo siguiente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line="276" w:lineRule="auto"/>
        <w:ind w:left="720" w:hanging="360"/>
        <w:jc w:val="both"/>
        <w:rPr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Re-definición del desafío de innovación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diseñar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una plataforma para combinar datos y criterios de la comunidad, vinculando observadores y proyectistas para comprender, negociar y resolver </w:t>
      </w:r>
      <w:r w:rsidDel="00000000" w:rsidR="00000000" w:rsidRPr="00000000">
        <w:rPr>
          <w:rFonts w:ascii="Arial" w:cs="Arial" w:eastAsia="Arial" w:hAnsi="Arial"/>
          <w:rtl w:val="0"/>
        </w:rPr>
        <w:t xml:space="preserve">los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problemas de paz de la comunidad evaluando el impacto de las intervenciones.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line="276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Poner en práctica un caso de uso:</w:t>
      </w:r>
      <w:r w:rsidDel="00000000" w:rsidR="00000000" w:rsidRPr="00000000">
        <w:rPr>
          <w:rFonts w:ascii="Arial" w:cs="Arial" w:eastAsia="Arial" w:hAnsi="Arial"/>
          <w:rtl w:val="0"/>
        </w:rPr>
        <w:t xml:space="preserve">  complementar la exploración de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la </w:t>
      </w:r>
      <w:r w:rsidDel="00000000" w:rsidR="00000000" w:rsidRPr="00000000">
        <w:rPr>
          <w:rFonts w:ascii="Arial" w:cs="Arial" w:eastAsia="Arial" w:hAnsi="Arial"/>
          <w:rtl w:val="0"/>
        </w:rPr>
        <w:t xml:space="preserve">plataforma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563c1"/>
          <w:vertAlign w:val="baseline"/>
          <w:rtl w:val="0"/>
        </w:rPr>
        <w:t xml:space="preserve">kf.</w:t>
      </w:r>
      <w:r w:rsidDel="00000000" w:rsidR="00000000" w:rsidRPr="00000000">
        <w:rPr>
          <w:rFonts w:ascii="Arial" w:cs="Arial" w:eastAsia="Arial" w:hAnsi="Arial"/>
          <w:i w:val="1"/>
          <w:color w:val="0563c1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i w:val="1"/>
          <w:color w:val="0563c1"/>
          <w:vertAlign w:val="baseline"/>
          <w:rtl w:val="0"/>
        </w:rPr>
        <w:t xml:space="preserve">obo</w:t>
      </w:r>
      <w:r w:rsidDel="00000000" w:rsidR="00000000" w:rsidRPr="00000000">
        <w:rPr>
          <w:rFonts w:ascii="Arial" w:cs="Arial" w:eastAsia="Arial" w:hAnsi="Arial"/>
          <w:i w:val="1"/>
          <w:color w:val="0563c1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i w:val="1"/>
          <w:color w:val="0563c1"/>
          <w:vertAlign w:val="baseline"/>
          <w:rtl w:val="0"/>
        </w:rPr>
        <w:t xml:space="preserve">oolbox.org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definiendo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un caso de uso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combin</w:t>
      </w:r>
      <w:r w:rsidDel="00000000" w:rsidR="00000000" w:rsidRPr="00000000">
        <w:rPr>
          <w:rFonts w:ascii="Arial" w:cs="Arial" w:eastAsia="Arial" w:hAnsi="Arial"/>
          <w:rtl w:val="0"/>
        </w:rPr>
        <w:t xml:space="preserve">ar un primer conjunto de datos capturados por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los observadores con un segundo conjunto de datos </w:t>
      </w:r>
      <w:r w:rsidDel="00000000" w:rsidR="00000000" w:rsidRPr="00000000">
        <w:rPr>
          <w:rFonts w:ascii="Arial" w:cs="Arial" w:eastAsia="Arial" w:hAnsi="Arial"/>
          <w:rtl w:val="0"/>
        </w:rPr>
        <w:t xml:space="preserve">secundarios, en ambos casos interoperables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y que esta puede ser integrada a la plataforma que se desea desarrollar.</w:t>
      </w:r>
      <w:r w:rsidDel="00000000" w:rsidR="00000000" w:rsidRPr="00000000">
        <w:rPr>
          <w:rFonts w:ascii="Arial" w:cs="Arial" w:eastAsia="Arial" w:hAnsi="Arial"/>
          <w:rtl w:val="0"/>
        </w:rPr>
        <w:t xml:space="preserve"> Y poniéndolo en práctica interactuando con las plataformas </w:t>
      </w:r>
      <w:r w:rsidDel="00000000" w:rsidR="00000000" w:rsidRPr="00000000">
        <w:rPr>
          <w:rFonts w:ascii="Arial" w:cs="Arial" w:eastAsia="Arial" w:hAnsi="Arial"/>
          <w:i w:val="1"/>
          <w:color w:val="0563c1"/>
          <w:rtl w:val="0"/>
        </w:rPr>
        <w:t xml:space="preserve">data.humdata.org</w:t>
      </w:r>
      <w:r w:rsidDel="00000000" w:rsidR="00000000" w:rsidRPr="00000000">
        <w:rPr>
          <w:rFonts w:ascii="Arial" w:cs="Arial" w:eastAsia="Arial" w:hAnsi="Arial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i w:val="1"/>
          <w:color w:val="0563c1"/>
          <w:rtl w:val="0"/>
        </w:rPr>
        <w:t xml:space="preserve">datos.gov.co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definir la funcionalidad requerida para facilitar la interoperabilidad requerida en estas interacciones para controlar los procesos de negocio del proyecto OPC.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80" w:before="28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Finalizada la socialización se </w:t>
      </w:r>
      <w:r w:rsidDel="00000000" w:rsidR="00000000" w:rsidRPr="00000000">
        <w:rPr>
          <w:rFonts w:ascii="Arial" w:cs="Arial" w:eastAsia="Arial" w:hAnsi="Arial"/>
          <w:rtl w:val="0"/>
        </w:rPr>
        <w:t xml:space="preserve">dio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cierre </w:t>
      </w:r>
      <w:r w:rsidDel="00000000" w:rsidR="00000000" w:rsidRPr="00000000">
        <w:rPr>
          <w:rFonts w:ascii="Arial" w:cs="Arial" w:eastAsia="Arial" w:hAnsi="Arial"/>
          <w:rtl w:val="0"/>
        </w:rPr>
        <w:t xml:space="preserve">identificando lecciones aprendidas sobre los la aplicación de metodología y el resultado de la Jornada 4. Se identificó lo siguiente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before="28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Aplicación del lienzo co-creación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se identificó a que este lienzo debió ser introducido antes de la Jornada 4. Se identificó que este cambio dificultó el paso desde el compilado de modelo negocios de la Jornada 3 a la co-creación. Se esperaba un desarrollo más amplio de sus propuestas de valor.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Grupo de expertos complementario</w:t>
      </w:r>
      <w:r w:rsidDel="00000000" w:rsidR="00000000" w:rsidRPr="00000000">
        <w:rPr>
          <w:rFonts w:ascii="Arial" w:cs="Arial" w:eastAsia="Arial" w:hAnsi="Arial"/>
          <w:rtl w:val="0"/>
        </w:rPr>
        <w:t xml:space="preserve">: se identificó la necesidad de complementar este esfuerzo con experiencias complementarias. Se propone partir de presentar una síntesis del modelo de negocio como contexto e iniciar el ciclo en tres pasos: definición de una propuesta de valor, complementar el modelo de negocio y definir el plan de co-creación.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fffff" w:val="clear"/>
        <w:spacing w:after="280" w:before="0" w:beforeAutospacing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Especialización de los grupos de observadores</w:t>
      </w:r>
      <w:r w:rsidDel="00000000" w:rsidR="00000000" w:rsidRPr="00000000">
        <w:rPr>
          <w:rFonts w:ascii="Arial" w:cs="Arial" w:eastAsia="Arial" w:hAnsi="Arial"/>
          <w:rtl w:val="0"/>
        </w:rPr>
        <w:t xml:space="preserve">: se identificaron tres grupos de trabajo y se ubicaron en diferentes escenarios según el contexto de productos o servicios clave para los procesos de negocio del OPC.</w:t>
      </w:r>
    </w:p>
    <w:tbl>
      <w:tblPr>
        <w:tblStyle w:val="Table2"/>
        <w:tblW w:w="99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3345"/>
        <w:gridCol w:w="3540"/>
        <w:tblGridChange w:id="0">
          <w:tblGrid>
            <w:gridCol w:w="3045"/>
            <w:gridCol w:w="3345"/>
            <w:gridCol w:w="3540"/>
          </w:tblGrid>
        </w:tblGridChange>
      </w:tblGrid>
      <w:tr>
        <w:trPr>
          <w:trHeight w:val="46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Grupo1: Evaluación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Grupo 2: Entrenamiento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Grupo 3: Logística</w:t>
            </w:r>
          </w:p>
        </w:tc>
      </w:tr>
      <w:tr>
        <w:trPr>
          <w:trHeight w:val="46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Oficina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Materiales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Datos / Mapas</w:t>
            </w:r>
          </w:p>
        </w:tc>
      </w:tr>
      <w:tr>
        <w:trPr>
          <w:trHeight w:val="168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shd w:fill="ffffff" w:val="clear"/>
              <w:spacing w:after="0" w:afterAutospacing="0" w:before="280"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PME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Revisión Documental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Teoría de Cambio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shd w:fill="ffffff" w:val="clear"/>
              <w:spacing w:after="28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Pregunta de investigación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hd w:fill="ffffff" w:val="clear"/>
              <w:spacing w:after="0" w:afterAutospacing="0" w:before="280"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Traducción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Validación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Extracción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Guion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Presentación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hd w:fill="ffffff" w:val="clear"/>
              <w:spacing w:after="28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Infografías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after="280" w:before="280"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Terreno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Tutoria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Audiovisual</w:t>
            </w:r>
          </w:p>
        </w:tc>
      </w:tr>
      <w:tr>
        <w:trPr>
          <w:trHeight w:val="420" w:hRule="atLeast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hd w:fill="ffffff" w:val="clear"/>
              <w:spacing w:after="280" w:before="280" w:line="276" w:lineRule="auto"/>
              <w:ind w:left="720" w:hanging="36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Formularios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hd w:fill="ffffff" w:val="clear"/>
              <w:spacing w:after="280" w:before="280" w:line="276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hd w:fill="ffffff" w:val="clear"/>
        <w:spacing w:after="280" w:before="28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80" w:before="28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partir de esta revisión se identificaron las siguientes recomendaciones para completar el proceso: 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hd w:fill="ffffff" w:val="clear"/>
        <w:spacing w:after="0" w:afterAutospacing="0" w:before="28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Definir dos conjuntos de datos que puedan ser ínter-conectados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Comparar el aprovechamiento de la plataformas HDX y DATOS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Validar la protección de los datos privados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Validar el manejo de almacenamiento temporal de datos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hd w:fill="ffffff" w:val="clear"/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Definir la funcionalidad de la primera caja roja por PME  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hd w:fill="ffffff" w:val="clear"/>
        <w:spacing w:after="280" w:before="0" w:beforeAutospacing="0" w:line="276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Definir la funcionalidad de la segunda cada por observador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OBSERVACIONES GENERALES (Propuestas,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Cambios y/ó Adiciones)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44.0" w:type="dxa"/>
        <w:jc w:val="left"/>
        <w:tblInd w:w="108.0" w:type="pct"/>
        <w:tblLayout w:type="fixed"/>
        <w:tblLook w:val="0000"/>
      </w:tblPr>
      <w:tblGrid>
        <w:gridCol w:w="5387"/>
        <w:gridCol w:w="2426"/>
        <w:gridCol w:w="2031"/>
        <w:tblGridChange w:id="0">
          <w:tblGrid>
            <w:gridCol w:w="5387"/>
            <w:gridCol w:w="2426"/>
            <w:gridCol w:w="2031"/>
          </w:tblGrid>
        </w:tblGridChange>
      </w:tblGrid>
      <w:tr>
        <w:trPr>
          <w:trHeight w:val="2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TAREAS Y COMPROMISOS  ESTABLECIDOS EN ESTA REUNION</w:t>
            </w:r>
          </w:p>
        </w:tc>
      </w:tr>
      <w:tr>
        <w:trPr>
          <w:trHeight w:val="5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QUÉ HACER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RESPONSABLE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COMPROMISO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un caso de uso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 poner en práctica un caso de uso para explorar la interacción entre las tres plataformas mencionadas.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Andrés Suarez 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Mauricio Sedano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13/FEB/2018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el documento que describe la funcionalidad de la plataforma para complementar el plan de co-creación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Andrés Suarez 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Mauricio Sedano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16/FEB/2018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35"/>
        <w:gridCol w:w="5025"/>
        <w:tblGridChange w:id="0">
          <w:tblGrid>
            <w:gridCol w:w="4935"/>
            <w:gridCol w:w="502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Mauricio Sedano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Profesional Contratista</w:t>
              <w:tab/>
              <w:tab/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Secretaría de Paz y Cultura Ciudadana</w:t>
              <w:tab/>
              <w:t xml:space="preserve">Observatorio de Paz y Convivencia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Andres F. Suarez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Profesional Contratista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Secretaría de Paz y Cultura Ciudadana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Observatorio de Paz y Convivencia 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NOTA: Se anexa listado de asistencia compuesto por 1 folio.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Elaboró: Mauricio Sedano-Profesional Contratista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Revisó: Andrés F. Suarez- Profesional Contratista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8" w:top="1191" w:left="1134" w:right="1134" w:header="1134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Este documento es propiedad de la Administración Central del Municipio de Santiago de Cali. Prohibida su alteración o modificación por cualquier medio, sin previa autorización del Alcalde.</w:t>
    </w:r>
  </w:p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891.000000000002" w:type="dxa"/>
      <w:jc w:val="left"/>
      <w:tblInd w:w="108.0" w:type="pct"/>
      <w:tblLayout w:type="fixed"/>
      <w:tblLook w:val="0000"/>
    </w:tblPr>
    <w:tblGrid>
      <w:gridCol w:w="2489"/>
      <w:gridCol w:w="4738"/>
      <w:gridCol w:w="1417"/>
      <w:gridCol w:w="1247"/>
      <w:tblGridChange w:id="0">
        <w:tblGrid>
          <w:gridCol w:w="2489"/>
          <w:gridCol w:w="4738"/>
          <w:gridCol w:w="1417"/>
          <w:gridCol w:w="1247"/>
        </w:tblGrid>
      </w:tblGridChange>
    </w:tblGrid>
    <w:tr>
      <w:trPr>
        <w:trHeight w:val="52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076960" cy="82804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960" cy="8280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GESTIÓN TECNOLÓGICA Y DE LA INFORMACIÓN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GESTIÓN DOCUMENTAL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SISTEMAS DE GESTIÓN Y CONTROL INTEGRADOS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mo" w:cs="Arimo" w:eastAsia="Arimo" w:hAnsi="Arimo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(SISTEDA, SGC y MECI)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ACTA DE REUNIÓN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7B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 xml:space="preserve">MAGT04.03.14.12.P01.F04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7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8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vAlign w:val="center"/>
        </w:tcPr>
        <w:p w:rsidR="00000000" w:rsidDel="00000000" w:rsidP="00000000" w:rsidRDefault="00000000" w:rsidRPr="00000000" w14:paraId="000000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ENTRADA EN VIGENCIA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8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06/may/2015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