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b w:val="1"/>
        </w:rPr>
      </w:pPr>
      <w:bookmarkStart w:colFirst="0" w:colLast="0" w:name="_heading=h.30j0zll" w:id="0"/>
      <w:bookmarkEnd w:id="0"/>
      <w:r w:rsidDel="00000000" w:rsidR="00000000" w:rsidRPr="00000000">
        <w:rPr>
          <w:rFonts w:ascii="Arial Narrow" w:cs="Arial Narrow" w:eastAsia="Arial Narrow" w:hAnsi="Arial Narrow"/>
          <w:b w:val="1"/>
          <w:rtl w:val="0"/>
        </w:rPr>
        <w:t xml:space="preserve">ENTREGABLE Y PRODUCTO DE LA FASE NO. 1</w:t>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PLAN ITERACIONES</w:t>
      </w:r>
    </w:p>
    <w:p w:rsidR="00000000" w:rsidDel="00000000" w:rsidP="00000000" w:rsidRDefault="00000000" w:rsidRPr="00000000" w14:paraId="0000000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6">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DE CONFORMIDAD CON LO ESTABLECIDO EN EL PROYECTO SOBRE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000000" w:rsidDel="00000000" w:rsidP="00000000" w:rsidRDefault="00000000" w:rsidRPr="00000000" w14:paraId="0000000A">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B">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D">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0F">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0">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1">
      <w:pPr>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CONTRATO DE PRESTACIÓN DE SERVICIOS PSPJ- 2755 DE 2019 RPR-105 FIP</w:t>
      </w:r>
    </w:p>
    <w:p w:rsidR="00000000" w:rsidDel="00000000" w:rsidP="00000000" w:rsidRDefault="00000000" w:rsidRPr="00000000" w14:paraId="00000012">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3">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4">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5">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6">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 NEURO MEDIA S.A.S.</w:t>
      </w:r>
    </w:p>
    <w:p w:rsidR="00000000" w:rsidDel="00000000" w:rsidP="00000000" w:rsidRDefault="00000000" w:rsidRPr="00000000" w14:paraId="00000017">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8">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9">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A">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B">
      <w:pPr>
        <w:jc w:val="center"/>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01C">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PARA LA ORGANIZACIÓN INTERNACIONAL PARA LAS MIGRACIONES</w:t>
      </w:r>
    </w:p>
    <w:p w:rsidR="00000000" w:rsidDel="00000000" w:rsidP="00000000" w:rsidRDefault="00000000" w:rsidRPr="00000000" w14:paraId="0000001E">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F">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0">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1">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2">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3">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4">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6">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7">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8">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color w:val="222222"/>
        </w:rPr>
      </w:pPr>
      <w:r w:rsidDel="00000000" w:rsidR="00000000" w:rsidRPr="00000000">
        <w:rPr>
          <w:rFonts w:ascii="Arial" w:cs="Arial" w:eastAsia="Arial" w:hAnsi="Arial"/>
          <w:b w:val="1"/>
          <w:color w:val="222222"/>
          <w:rtl w:val="0"/>
        </w:rPr>
        <w:t xml:space="preserve">PLAN DE ITERACIONES</w:t>
      </w:r>
    </w:p>
    <w:p w:rsidR="00000000" w:rsidDel="00000000" w:rsidP="00000000" w:rsidRDefault="00000000" w:rsidRPr="00000000" w14:paraId="0000002A">
      <w:pPr>
        <w:jc w:val="cente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Las iteraciones van desde mediciones piloto hasta escalas para ampliaciones y coberturas con representatividades.</w:t>
      </w:r>
    </w:p>
    <w:p w:rsidR="00000000" w:rsidDel="00000000" w:rsidP="00000000" w:rsidRDefault="00000000" w:rsidRPr="00000000" w14:paraId="0000002D">
      <w:pPr>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En la fase 4 de transición se enfoca en asegurar que el software esté listo para los usuarios finales. Puede acordarse la realización de varias iteraciones, incluyendo las pruebas del producto dentro de la preparación para su publicación y puesta en producción. Se deben hacer los ajustes menores basados en la retroalimentación de los usuarios del equipo de la SPCC/OPC, ciudadanos vinculados a su comunidad de práctica y la OIM. A este punto, el sistema estará terminado y la retroalimentación de los usuarios debe enfocarse principalmente en la instalación, afinación, configuración e instalación.</w:t>
      </w:r>
    </w:p>
    <w:p w:rsidR="00000000" w:rsidDel="00000000" w:rsidP="00000000" w:rsidRDefault="00000000" w:rsidRPr="00000000" w14:paraId="0000002F">
      <w:pPr>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30">
      <w:pPr>
        <w:spacing w:line="252.00000000000003" w:lineRule="auto"/>
        <w:ind w:left="0" w:right="380" w:firstLine="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El hito que marca el fin de esta fase incluye el sistema en versión final y la entrega de toda la documentación actualizada (inclusive los entregables de fases anteriores que hayan tenido ajustes o cambios) del proyecto con los manuales de instalación, configuración, administración, mantenimiento, manual de usuario y la finalización del entrenamiento de los usuarios.</w:t>
      </w:r>
    </w:p>
    <w:p w:rsidR="00000000" w:rsidDel="00000000" w:rsidP="00000000" w:rsidRDefault="00000000" w:rsidRPr="00000000" w14:paraId="00000031">
      <w:pP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El plan de la iteración es la siguiente:</w:t>
      </w:r>
    </w:p>
    <w:p w:rsidR="00000000" w:rsidDel="00000000" w:rsidP="00000000" w:rsidRDefault="00000000" w:rsidRPr="00000000" w14:paraId="00000033">
      <w:pPr>
        <w:jc w:val="cente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color w:val="222222"/>
        </w:rPr>
      </w:pPr>
      <w:r w:rsidDel="00000000" w:rsidR="00000000" w:rsidRPr="00000000">
        <w:rPr>
          <w:rtl w:val="0"/>
        </w:rPr>
      </w:r>
    </w:p>
    <w:sdt>
      <w:sdtPr>
        <w:lock w:val="contentLocked"/>
        <w:tag w:val="goog_rdk_28"/>
      </w:sdtPr>
      <w:sdtContent>
        <w:tbl>
          <w:tblPr>
            <w:tblStyle w:val="Table1"/>
            <w:tblW w:w="6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800"/>
            <w:gridCol w:w="1500"/>
            <w:tblGridChange w:id="0">
              <w:tblGrid>
                <w:gridCol w:w="1500"/>
                <w:gridCol w:w="1500"/>
                <w:gridCol w:w="1800"/>
                <w:gridCol w:w="1500"/>
              </w:tblGrid>
            </w:tblGridChange>
          </w:tblGrid>
          <w:tr>
            <w:trPr>
              <w:trHeight w:val="300" w:hRule="atLeast"/>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Etapa</w:t>
                    </w:r>
                    <w:r w:rsidDel="00000000" w:rsidR="00000000" w:rsidRPr="00000000">
                      <w:rPr>
                        <w:rtl w:val="0"/>
                      </w:rPr>
                    </w:r>
                  </w:p>
                </w:tc>
              </w:sdtContent>
            </w:sdt>
          </w:tr>
          <w:tr>
            <w:trPr>
              <w:trHeight w:val="300" w:hRule="atLeast"/>
            </w:trPr>
            <w:sdt>
              <w:sdtPr>
                <w:lock w:val="contentLocked"/>
                <w:tag w:val="goog_rdk_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Prototipo 1</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sept. 15</w:t>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tr>
          <w:tr>
            <w:trPr>
              <w:trHeight w:val="500" w:hRule="atLeast"/>
            </w:trPr>
            <w:sdt>
              <w:sdtPr>
                <w:lock w:val="contentLocked"/>
                <w:tag w:val="goog_rdk_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 Prototipo</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oct. 8</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 / OPC</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tr>
          <w:tr>
            <w:trPr>
              <w:trHeight w:val="300" w:hRule="atLeast"/>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Ajustes</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oct. 15</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tr>
          <w:tr>
            <w:trPr>
              <w:trHeight w:val="500" w:hRule="atLeast"/>
            </w:trPr>
            <w:sdt>
              <w:sdtPr>
                <w:lock w:val="contentLocked"/>
                <w:tag w:val="goog_rdk_1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Pruebas V1</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oct. 30</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 / OPC</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tr>
          <w:tr>
            <w:trPr>
              <w:trHeight w:val="300" w:hRule="atLeast"/>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Ajustes</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nov. 15</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tr>
          <w:tr>
            <w:trPr>
              <w:trHeight w:val="300" w:hRule="atLeast"/>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Entrega</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dic. 8</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Neuro Media</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tr>
        </w:tbl>
      </w:sdtContent>
    </w:sdt>
    <w:p w:rsidR="00000000" w:rsidDel="00000000" w:rsidP="00000000" w:rsidRDefault="00000000" w:rsidRPr="00000000" w14:paraId="00000051">
      <w:pPr>
        <w:jc w:val="cente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rPr>
      </w:pPr>
      <w:r w:rsidDel="00000000" w:rsidR="00000000" w:rsidRPr="00000000">
        <w:rPr>
          <w:rtl w:val="0"/>
        </w:rPr>
      </w:r>
    </w:p>
    <w:sectPr>
      <w:headerReference r:id="rId7" w:type="default"/>
      <w:headerReference r:id="rId8" w:type="even"/>
      <w:foot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Narro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4800600</wp:posOffset>
          </wp:positionH>
          <wp:positionV relativeFrom="paragraph">
            <wp:posOffset>-449576</wp:posOffset>
          </wp:positionV>
          <wp:extent cx="1855470" cy="1223645"/>
          <wp:effectExtent b="0" l="0" r="0" t="0"/>
          <wp:wrapSquare wrapText="bothSides" distB="0" distT="0" distL="0" distR="0"/>
          <wp:docPr descr="Macintosh HD:Users:neuromedia1:Desktop:CLIENTES:NEUROMEDIA:MATERIAL POP 2018:HOJA CARTA:hoja carta-05.png" id="25" name="image1.png"/>
          <a:graphic>
            <a:graphicData uri="http://schemas.openxmlformats.org/drawingml/2006/picture">
              <pic:pic>
                <pic:nvPicPr>
                  <pic:cNvPr descr="Macintosh HD:Users:neuromedia1:Desktop:CLIENTES:NEUROMEDIA:MATERIAL POP 2018:HOJA CARTA:hoja carta-05.png" id="0" name="image1.png"/>
                  <pic:cNvPicPr preferRelativeResize="0"/>
                </pic:nvPicPr>
                <pic:blipFill>
                  <a:blip r:embed="rId1"/>
                  <a:srcRect b="0" l="0" r="0" t="0"/>
                  <a:stretch>
                    <a:fillRect/>
                  </a:stretch>
                </pic:blipFill>
                <pic:spPr>
                  <a:xfrm>
                    <a:off x="0" y="0"/>
                    <a:ext cx="1855470" cy="12236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-1080132</wp:posOffset>
          </wp:positionH>
          <wp:positionV relativeFrom="paragraph">
            <wp:posOffset>-449577</wp:posOffset>
          </wp:positionV>
          <wp:extent cx="1196340" cy="1171575"/>
          <wp:effectExtent b="0" l="0" r="0" t="0"/>
          <wp:wrapSquare wrapText="bothSides" distB="0" distT="0" distL="0" distR="0"/>
          <wp:docPr descr="Macintosh HD:Users:neuromedia1:Desktop:CLIENTES:NEUROMEDIA:MATERIAL POP 2018:HOJA CARTA:hoja carta-03.png" id="24" name="image2.png"/>
          <a:graphic>
            <a:graphicData uri="http://schemas.openxmlformats.org/drawingml/2006/picture">
              <pic:pic>
                <pic:nvPicPr>
                  <pic:cNvPr descr="Macintosh HD:Users:neuromedia1:Desktop:CLIENTES:NEUROMEDIA:MATERIAL POP 2018:HOJA CARTA:hoja carta-03.png" id="0" name="image2.png"/>
                  <pic:cNvPicPr preferRelativeResize="0"/>
                </pic:nvPicPr>
                <pic:blipFill>
                  <a:blip r:embed="rId2"/>
                  <a:srcRect b="0" l="0" r="0" t="0"/>
                  <a:stretch>
                    <a:fillRect/>
                  </a:stretch>
                </pic:blipFill>
                <pic:spPr>
                  <a:xfrm>
                    <a:off x="0" y="0"/>
                    <a:ext cx="1196340" cy="1171575"/>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[Escriba texto][Escriba texto][Escriba texto]</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Piedepgina">
    <w:name w:val="footer"/>
    <w:basedOn w:val="Normal"/>
    <w:link w:val="PiedepginaCar"/>
    <w:uiPriority w:val="99"/>
    <w:unhideWhenUsed w:val="1"/>
    <w:rsid w:val="00CF0B8D"/>
    <w:pPr>
      <w:tabs>
        <w:tab w:val="center" w:pos="4419"/>
        <w:tab w:val="right" w:pos="8838"/>
      </w:tabs>
    </w:pPr>
  </w:style>
  <w:style w:type="character" w:styleId="PiedepginaCar" w:customStyle="1">
    <w:name w:val="Pie de página Car"/>
    <w:basedOn w:val="Fuentedeprrafopredeter"/>
    <w:link w:val="Piedepgina"/>
    <w:uiPriority w:val="99"/>
    <w:rsid w:val="00CF0B8D"/>
  </w:style>
  <w:style w:type="paragraph" w:styleId="Encabezado">
    <w:name w:val="header"/>
    <w:basedOn w:val="Normal"/>
    <w:link w:val="EncabezadoCar"/>
    <w:uiPriority w:val="99"/>
    <w:unhideWhenUsed w:val="1"/>
    <w:rsid w:val="00CF0B8D"/>
    <w:pPr>
      <w:tabs>
        <w:tab w:val="center" w:pos="4419"/>
        <w:tab w:val="right" w:pos="8838"/>
      </w:tabs>
    </w:pPr>
  </w:style>
  <w:style w:type="character" w:styleId="EncabezadoCar" w:customStyle="1">
    <w:name w:val="Encabezado Car"/>
    <w:basedOn w:val="Fuentedeprrafopredeter"/>
    <w:link w:val="Encabezado"/>
    <w:uiPriority w:val="99"/>
    <w:rsid w:val="00CF0B8D"/>
  </w:style>
  <w:style w:type="paragraph" w:styleId="Prrafodelista">
    <w:name w:val="List Paragraph"/>
    <w:basedOn w:val="Normal"/>
    <w:uiPriority w:val="34"/>
    <w:qFormat w:val="1"/>
    <w:rsid w:val="00CF0B8D"/>
    <w:pPr>
      <w:ind w:left="720"/>
      <w:contextualSpacing w:val="1"/>
    </w:pPr>
  </w:style>
  <w:style w:type="paragraph" w:styleId="Textocomentario">
    <w:name w:val="annotation text"/>
    <w:basedOn w:val="Normal"/>
    <w:link w:val="TextocomentarioCar"/>
    <w:uiPriority w:val="99"/>
    <w:rsid w:val="00E36232"/>
    <w:rPr>
      <w:rFonts w:ascii="Times New Roman" w:cs="Times New Roman" w:eastAsia="Times New Roman" w:hAnsi="Times New Roman"/>
      <w:sz w:val="20"/>
      <w:szCs w:val="20"/>
      <w:lang w:eastAsia="en-US" w:val="es-ES_tradnl"/>
    </w:rPr>
  </w:style>
  <w:style w:type="character" w:styleId="TextocomentarioCar" w:customStyle="1">
    <w:name w:val="Texto comentario Car"/>
    <w:basedOn w:val="Fuentedeprrafopredeter"/>
    <w:link w:val="Textocomentario"/>
    <w:uiPriority w:val="99"/>
    <w:rsid w:val="00E36232"/>
    <w:rPr>
      <w:rFonts w:ascii="Times New Roman" w:cs="Times New Roman" w:eastAsia="Times New Roman" w:hAnsi="Times New Roman"/>
      <w:sz w:val="20"/>
      <w:szCs w:val="20"/>
      <w:lang w:eastAsia="en-US"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GVpra5MfPkizsVuZ30LM8IO2Q==">AMUW2mWT8byC/jbTAfxfzUs/UnHZkcSipm1b8R+IQnn+WrkcsFzDAWn2ADwL6TCyR8rRGOfGiJx75y/z8Ayt1Qr+z1s8dZvenfuMwYeu8E4Mhd980Hosis7AgURN1fiA/PCfPf1x0dx3RYhuwum8V+rliIfCOEixjlJv3aqGkeRDnkwvQqtDt3G+HUszmgLSEw0ByJm8++R5xs4n48OfugMJONBBkRFkyUyFewsPWljEQBIchlNgvsRYXRh+Ivwir+kcndHzKk8gNWI771IvRmLnyY6EfXEyHOd4mMkAEp5Kmv/xsntAAmLFyT1mmJ7DRcuY/N6J+GHGW/gwa7Gf9w9zD3H0dHyigWdnHQodBhIAQj/YlA/njkc+RtEeNKJVXBdLF/GLja9hi3xlW8EoUpIqaOJIDbuVtez02T/3vKsl/AO2i5CDo1xCnD7fk0b5nzjN9Bn/IXvVuQy6piWNbOoQdKh3UyHjmrjk/5mtzPRN76TyiOlxHYc59RwHd3QTDR+SoLJbDy6a1K8v2dE5UwlwLWJmITR0iXJxiAZXgmb4cVpak/N/266Mz31vvA4Hu24nRTQg2RA17k1nMQOJViOCKAOTaeiXne13gxae153lExnvlZh7QVThPnZTPx/GSQFPI36XIFK5+P8QKeXqWz1wu7m/ulM5ywpqEswL29GTMKl7u0I39BUR65hQ0Iw3GXgTDkhiaFEaP6s6E6tihjSNpiTpfaCf66bt7O29qZ0g17UmulT1v3HLA7n2kvjCZFKoOYsF32fMb4xeFPPfDj91mzUTQYIo/MnOJwO9kTq5B+ba9p6DnYBBM0LjEaSzED+bk3gLl09jhgCGehaMmAxflr+YpGZJyUNqoMm/cWSC1jblvwF50KjgH5aXV1li4AlV+45Z/qtmgHERbR5GV5swkbWuNSXnvNGhVDkIQLsI1QlVvY8lpxjhJ6WIho97xFfQSI0QYwzSLzA8XU36VmRll5MQ+uQwO+nB7ge9YHOs/shQbJg1MhSgD2glWLy1CCrxFX52gSqDwN++DZ4VB3ATfvn1lsa3giLeg2PW1dWGskcQTtBEJpIKvb2IpiWe/Os8oOK7x1mBkmWQhibeQ96w1/olEXodkkfRjlQRoA4YuqcGrCLoKPAQJ7klNu5RQjYQwxWUm+/LlQKGu8Qtz3ofSo2XhcLdG8NDNIECOtBN2XM2J1HZBvhjjscMmtV/ef4oX2y5YTBvetxwIhuuzvvnvhrgyl/JS1F4+qRpzDlaEIEe+EJ99Gwpnww7ZTQtNnPjDfCvhR+fWCpbwlWYVtopXaR32dCyFTHaFXkH7Sv1b+rZwHp6BKCFxjm3ieez+DR8ttPguu1V154mafZVNNcxjSO+HWMKMSVQ9kOAs7xXfvcBYox5Lv9zHnVstEjYpWB3r0HlaLqKIl5nOyRotax4yZoIHjwqC6uH/jQOZ/nKCAoMbYkhdiLm37eMjTCxWvPtDfsvJA1Np2dkDSEQfjcj5LDSIC68x5pNnE8OC6PJIiaGWOjotLtPDngpL5tXZgcwiGxEw3qv4qW2f7/DaF2RcpvVJf9Ju+upWkgkFKFt8NBdNjljacsGWtUwP8ib6eFaxSZDr0Dftna0tCunbwAc6Ea5hk2vvOf+41n/Kafjri5EazWPhBInYyk3+NfzRT06sgL1HHO4++EXoRghu8Szokxh2njC6D2Ze57oHLtcQNm1x4edv6fI2bmUvBeUEkC4ZTKOeGA1k2f5bzFOJlfVS/zJiIGhXHx36DKtXkv8KszRIbe5Mk0SfeMtkn9/QIxTLhi8r7WrV/+rT6T5tO14vcDFrawAOZKl1TvuT0KLgluriW4f069jzyP7X9lhoUBRXhct4LFRQ2NMg2orvH4VnTCyFLLSS40hGlMoUg4bWu+YHCfMqMVhkM8Svz34BSEqjMN+KiMADA1Xa5QTC/aEqibmQghqInP4SVKhW5dwgy9GU4mqnx01AhJi3QdeRDRpQi0EiNcn5NqK7fEJRgQ0KCDIINQXWXMFXtQMwkDEuF70/5xqOJI41QtMJ5vlv22mpg5RP/FcV2oBnR8hjMbF75O91fVwHl4oUgVSUFwiTMEksvWdD7gvu+J8pcz7SEGzpg6n1gApIuzGJxBujmRHKyH2UtXmM1kbOGs9lo81ao36gsPuLkO1RbTzXRLgWnaqtkTS1b9uCnBrcxhoOdEGO5FKnMQAmMUINjeFil1FK3vyl2Rb0ZWxsO31knbo+m/HB1kOT6eGn3Gdg11RRVdmPTmSO79aqItVQ+mBhuSXn30e3c8ZbBQZsfcIM1CqknNZ+rJxz/edXStSGNBO0k6SHF6Lcx0dgJkWDedeU1L78xk1dkcZlHyvhi5HDpm/JvIne5sc0LjZSWJn0E/2O7AmP+Mhoitv6FCYM7GCjZwSq6gM2ZfYQtnoB9noW5jrx7mlJOaYM27S4XEbym8ILYgveKiMwtQoEwOAPbIDBNX5MJBfERwe/czH1Qc5IiYX4TS9J/p0V0ygR717VwLYZWS92tlzuQkITiN8ZWB2Gs9BRiPdja5OhXuB7oLm+aqC9SMnbdQfFFVkTw+dVpK6dCgRWtJnKHmjAjEsjE56zZrhGtoZR2w/QJ71DBLl2ual6ZiAZR5RLtRZSui5SzyLSg3Ujjz4MG0zo0MFoKvlNcVnAeKea0wf3D3f+KyeWzF1GQb70DKWLvO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2019-07-15T18:16:00Z</dcterms:created>
  <dc:creator>Usuario1</dc:creator>
</cp:coreProperties>
</file>