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6tckrrgvchw" w:id="0"/>
      <w:bookmarkEnd w:id="0"/>
      <w:r w:rsidDel="00000000" w:rsidR="00000000" w:rsidRPr="00000000">
        <w:rPr>
          <w:rtl w:val="0"/>
        </w:rPr>
        <w:t xml:space="preserve">Resumen Entrevistas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Durante las entrevistas con los líderes de procesos se logra evidenciar el uso posible que estos usuario pueden dar a la plataforma de medición de indicadores de paz, para sistematizar su gestiones de procesos, siempre teniendo en cuenta que la plataforma a desarrollar tiene como fin la construcción de una plataforma para la medición de indicadores de paz, lo cual es diferente a las necesidades de sistematización para el control y seguimiento de la gestión en sus procesos.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Dentro de estas entrevistas se pudo evidenciar los siguientes factores críticos.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Contextos de datos no estructurados, </w:t>
      </w:r>
      <w:r w:rsidDel="00000000" w:rsidR="00000000" w:rsidRPr="00000000">
        <w:rPr>
          <w:rtl w:val="0"/>
        </w:rPr>
        <w:t xml:space="preserve">Usuarios entrevistados manifiestan que a diferencia de lo planteado en esta solución ellos para la contextualización de sus procesos usan fuentes de datos no estructuradas, tales como, artículos de prensa, revistas, búsquedas en internet, etc.</w:t>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Cartografía de datos, </w:t>
      </w:r>
      <w:r w:rsidDel="00000000" w:rsidR="00000000" w:rsidRPr="00000000">
        <w:rPr>
          <w:rtl w:val="0"/>
        </w:rPr>
        <w:t xml:space="preserve"> Para la recolección de información de la comunidad usan técnicas cartográficas basadas en icono o imágenes representativas donde las personas en un mapa de una zona de la ciudad, comuna o barrio ubican los lugares críticos o relevantes representados con un conjunto de iconos.</w:t>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Criterios de medición,</w:t>
      </w:r>
      <w:r w:rsidDel="00000000" w:rsidR="00000000" w:rsidRPr="00000000">
        <w:rPr>
          <w:rtl w:val="0"/>
        </w:rPr>
        <w:t xml:space="preserve"> Debido a que los procesos de realizados por estos líderes no corresponden en esencia a procesos de medición si no a procesos de operación o gestión, estos procesos no cuentan en su mayoría con criterio de medición, los cuales tendrían que ser creados por los usuarios al momento que se quiera realizar una medición usando esta plataforma.</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Esto 3 factores resultan relevantes y comunes en las entrevista realizadas los resaltamos ya que serán tenidos en cuenta ya que si lo lidere quiere hacer uso de la plataforma, deberán adaptar sus procesos para que estos encajen dentro del alcance de la solucion.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