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5"/>
            <w:shd w:val="clear" w:color="auto" w:fill="000000"/>
          </w:tcPr>
          <w:p>
            <w:pPr>
              <w:spacing w:before="800" w:after="80"/>
              <w:jc w:val="center"/>
            </w:pPr>
            <w:r>
              <w:rPr>
                <w:rFonts w:ascii="Calibri" w:hAnsi="Calibri"/>
                <w:b/>
                <w:color w:val="FF7E08"/>
                <w:sz w:val="60"/>
              </w:rPr>
              <w:t>Requirement Refinator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FFFFFF"/>
                <w:sz w:val="36"/>
              </w:rPr>
              <w:t>Guía de Uso Completa</w:t>
            </w:r>
          </w:p>
          <w:p>
            <w:pPr>
              <w:spacing w:after="800"/>
              <w:jc w:val="center"/>
            </w:pPr>
            <w:r>
              <w:rPr>
                <w:rFonts w:ascii="Calibri" w:hAnsi="Calibri"/>
                <w:color w:val="A8A29E"/>
                <w:sz w:val="20"/>
              </w:rPr>
              <w:t>Refinamiento de Historias de Usuario · ISO 29148 · ISO 25010 · PMI-PMBOK 7</w:t>
            </w:r>
          </w:p>
          <w:p>
            <w:pPr>
              <w:spacing w:after="400"/>
              <w:jc w:val="center"/>
            </w:pPr>
            <w:r>
              <w:rPr>
                <w:rFonts w:ascii="Calibri" w:hAnsi="Calibri"/>
                <w:color w:val="78716C"/>
                <w:sz w:val="18"/>
              </w:rPr>
              <w:t>MetodologIA · 2026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¿Qué es el Requirement Refinator?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 xml:space="preserve">El </w:t>
      </w:r>
      <w:r>
        <w:rPr>
          <w:rFonts w:ascii="Calibri" w:hAnsi="Calibri"/>
          <w:b/>
          <w:color w:val="1C1A17"/>
          <w:sz w:val="21"/>
        </w:rPr>
        <w:t>Requirement Refinator</w:t>
      </w:r>
      <w:r>
        <w:rPr>
          <w:rFonts w:ascii="Calibri" w:hAnsi="Calibri"/>
          <w:color w:val="1C1A17"/>
          <w:sz w:val="21"/>
        </w:rPr>
        <w:t xml:space="preserve"> es una herramienta de refinamiento de requerimientos para líderes técnicos y de gestión en equipos de desarrollo de software. Combina inteligencia artificial (Claude Code / Antigravity) con estándares internacionales para analizar, desglosar y estimar </w:t>
      </w:r>
      <w:r>
        <w:rPr>
          <w:rFonts w:ascii="Calibri" w:hAnsi="Calibri"/>
          <w:b/>
          <w:color w:val="1C1A17"/>
          <w:sz w:val="21"/>
        </w:rPr>
        <w:t>historias de usuario (HUs)</w:t>
      </w:r>
      <w:r>
        <w:rPr>
          <w:rFonts w:ascii="Calibri" w:hAnsi="Calibri"/>
          <w:color w:val="1C1A17"/>
          <w:sz w:val="21"/>
        </w:rPr>
        <w:t xml:space="preserve"> de un sprint en minutos.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Está diseñado especialmente para proyectos de alcance corto: fábricas de software y contratos Tiempo &amp; Materiales (T&amp;M) con iteraciones de 1 a 4 semanas.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FF7E08"/>
                <w:sz w:val="22"/>
              </w:rPr>
              <w:t xml:space="preserve">▌ </w:t>
            </w:r>
            <w:r>
              <w:rPr>
                <w:rFonts w:ascii="Calibri" w:hAnsi="Calibri"/>
                <w:b/>
                <w:color w:val="1C1A17"/>
                <w:sz w:val="22"/>
              </w:rPr>
              <w:t>Lo que obtienes por cada historia de usuario analizada: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• Validación de calidad ISO/IEC/IEEE 29148:2018 (9 atributos)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• Criterios de aceptación en formato Gherkin (BDD)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• Tareas técnicas con estimaciones PERT (Optimista / Probable / Pesimista)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• Análisis de riesgos metodología RISICAR (DAFP Colombia)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• Análisis de dependencias entre HUs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• Calificación de calidad ISO/IEC 25010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• Un dashboard interactivo con EVM, cronograma y bitácora PMO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Requisitos previos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Claude Code (https://claude.ai/code) o Antigravity (https://antigravity.dev)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Git instalado en tu computador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Visual Studio Code (VSC) o cualquier IDE compatible con Claude Code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Un navegador moderno (Chrome, Edge o Firefox)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No se requiere instalar librerías ni servidores. Todo el análisis lo hace el agente de IA, y el resultado final es un único archivo HTML que abres en el navegador.</w:t>
      </w: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Paso 1 — Obtener el proyecto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1.1 Clonar con Visual Studio Code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Abre Visual Studio Code.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Presiona Cmd+Shift+P (Mac) o Ctrl+Shift+P (Windows/Linux) para abrir la paleta de comandos.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Escribe "Git: Clone" y presiona Enter.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Pega la URL del repositorio: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C1A17"/>
          </w:tcPr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https://github.com/mauriciosepulveda-max/PM-refinador.git</w:t>
            </w:r>
          </w:p>
        </w:tc>
      </w:tr>
    </w:tbl>
    <w:p>
      <w:pPr>
        <w:spacing w:after="120"/>
      </w:pP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Selecciona la carpeta destino en tu computador.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Cuando VSC pregunte "Would you like to open the cloned repository?", haz clic en Open.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Abre la extensión de Claude Code en VSC (ícono en la barra lateral izquierda o menú View → Extensions → Claude Code).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1.2 Clonar con Antigravity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Abre Antigravity.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En el panel izquierdo, busca la opción "Clone repository" o "New project from Git".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Pega la URL: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C1A17"/>
          </w:tcPr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https://github.com/mauriciosepulveda-max/PM-refinador.git</w:t>
            </w:r>
          </w:p>
        </w:tc>
      </w:tr>
    </w:tbl>
    <w:p>
      <w:pPr>
        <w:spacing w:after="120"/>
      </w:pP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Selecciona la carpeta destino y confirma. Antigravity abrirá el proyecto con Claude Code activo.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1.3 Clonar desde la terminal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Si prefieres la terminal, ejecuta: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C1A17"/>
          </w:tcPr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git clone https://github.com/mauriciosepulveda-max/PM-refinador.git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cd PM-refinador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# Luego abre la carpeta con VSC o Antigravity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2563EB"/>
                <w:sz w:val="22"/>
              </w:rPr>
              <w:t xml:space="preserve">▌ </w:t>
            </w:r>
            <w:r>
              <w:rPr>
                <w:rFonts w:ascii="Calibri" w:hAnsi="Calibri"/>
                <w:b/>
                <w:color w:val="1C1A17"/>
                <w:sz w:val="22"/>
              </w:rPr>
              <w:t>Estructura del proyecto una vez clonado: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PM-refinador/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 xml:space="preserve">  ├── .claude/agents/       ← Agentes IA especializados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 xml:space="preserve">  ├── .claude/skills/       ← Comandos /refinar-sprint, /refinar-hu, etc.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 xml:space="preserve">  ├── docs/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 xml:space="preserve">  │   ├── HUs/              ← Aquí van tus historias de usuario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 xml:space="preserve">  │   └── contexto/         ← Archivos de contexto del proyecto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 xml:space="preserve">  ├── templates/            ← Template HTML del dashboard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 xml:space="preserve">  └── output/               ← Dashboard generado (se crea automáticamente)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Paso 2 — Documentar el contexto del proyecto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 xml:space="preserve">El agente de IA necesita entender tu proyecto antes de analizar las HUs. Para eso debes crear dos archivos de contexto en la carpeta </w:t>
      </w:r>
      <w:r>
        <w:rPr>
          <w:rFonts w:ascii="Calibri" w:hAnsi="Calibri"/>
          <w:b/>
          <w:color w:val="1C1A17"/>
          <w:sz w:val="21"/>
        </w:rPr>
        <w:t>docs/contexto/</w:t>
      </w:r>
      <w:r>
        <w:rPr>
          <w:rFonts w:ascii="Calibri" w:hAnsi="Calibri"/>
          <w:color w:val="1C1A17"/>
          <w:sz w:val="21"/>
        </w:rPr>
        <w:t>: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2.1 contexto-funcional.md — Información de negocio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Copia la plantilla y renómbrala: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C1A17"/>
          </w:tcPr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cp docs/contexto/contexto-funcional.template.md docs/contexto/contexto-funcional.md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Edita el archivo con la información de tu proyecto. Incluye: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Nombre y descripción del proyecto / producto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Cliente o empresa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Dominio de negocio (ej: seguros, logística, fintech)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Actores principales (usuarios, roles, sistemas externos)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Reglas de negocio clave (máximo 10 las más críticas)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Procesos de negocio relevantes al sprint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Restricciones y consideraciones de negocio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2.2 contexto-tecnico.md — Stack y arquitectura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Copia la plantilla: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C1A17"/>
          </w:tcPr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cp docs/contexto/contexto-tecnico.template.md docs/contexto/contexto-tecnico.md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Completa con: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Stack tecnológico (lenguaje, framework, base de datos, mensajería)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Arquitectura del sistema (microservicios, monolito, serverless)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Módulos o servicios principales y su responsabilidad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Integraciones externas (APIs de terceros, plataformas de pago, etc.)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Entornos disponibles (local, QA, staging, producción)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Equipo del sprint: nombre, rol y horas efectivas por día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Restricciones técnicas importantes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FF7E08"/>
                <w:sz w:val="22"/>
              </w:rPr>
              <w:t xml:space="preserve">▌ </w:t>
            </w:r>
            <w:r>
              <w:rPr>
                <w:rFonts w:ascii="Calibri" w:hAnsi="Calibri"/>
                <w:b/>
                <w:color w:val="1C1A17"/>
                <w:sz w:val="22"/>
              </w:rPr>
              <w:t>Consejo: entre más contexto, mejor análisis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No te preocupes por la perfección. Con información básica el agente ya puede trabajar.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Puedes mejorar estos archivos sprint a sprint como parte de la retrospectiva.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Si un dato no está documentado, el agente lo marcará como "No documentado — requiere confirmación"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en lugar de inventarlo.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Paso 3 — Agregar las historias de usuario del sprint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3.1 Estructura de carpetas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Crea una carpeta por sprint dentro de docs/HUs/: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C1A17"/>
          </w:tcPr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mkdir docs/HUs/Sprint-1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# Para el Sprint 2 sería: mkdir docs/HUs/Sprint-2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3.2 Formato de cada historia de usuario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Crea un archivo .md por historia de usuario. El nombre del archivo puede ser descriptivo: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C1A17"/>
          </w:tcPr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docs/HUs/Sprint-1/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 xml:space="preserve">  ├── HU-001-login-usuario.md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 xml:space="preserve">  ├── HU-002-dashboard-principal.md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 xml:space="preserve">  └── HU-003-reportes-ventas.md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Formato mínimo de cada archivo: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C1A17"/>
          </w:tcPr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# Título de la Historia de Usuario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## Narrativa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Como [rol/perfil]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Quiero [funcionalidad/capacidad]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Para que [beneficio/valor de negocio]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## Detalle del Desarrollo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[Descripción detallada de qué se necesita implementar]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## Criterios de Aceptación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- [ ] Criterio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- [ ] Criterio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- [ ] Criterio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## Notas técnicas (opcional)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[Dependencias, restricciones, contexto adicional]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16A34A"/>
                <w:sz w:val="22"/>
              </w:rPr>
              <w:t xml:space="preserve">▌ </w:t>
            </w:r>
            <w:r>
              <w:rPr>
                <w:rFonts w:ascii="Calibri" w:hAnsi="Calibri"/>
                <w:b/>
                <w:color w:val="1C1A17"/>
                <w:sz w:val="22"/>
              </w:rPr>
              <w:t>¿Qué tan detalladas deben ser las HUs?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El agente puede trabajar con HUs básicas, pero mejora notablemente con más detalle.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Mínimo indispensable: narrativa (Como / Quiero / Para que) + 2 criterios de aceptación.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Ideal: narrativa + detalle de desarrollo + criterios de aceptación bien definidos.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El agente expandirá los criterios, agregará escenarios Gherkin y creará las tareas técnicas.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Paso 4 — Ejecutar el análisis del sprint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4.1 Comando principal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Con el proyecto abierto en Claude Code o Antigravity, ejecuta en el chat del agente: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C1A17"/>
          </w:tcPr>
          <w:p>
            <w:pPr>
              <w:spacing w:before="0" w:after="0"/>
            </w:pPr>
            <w:r>
              <w:rPr>
                <w:rFonts w:ascii="Courier New" w:hAnsi="Courier New"/>
                <w:color w:val="FBBB74"/>
                <w:sz w:val="18"/>
              </w:rPr>
              <w:t>/refinar-sprint Sprint-1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El agente: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Lee los archivos de contexto y todas las HUs del sprint.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Lanza un análisis en paralelo: 1 agente especializado por HU.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Valida la calidad de cada análisis (quality gates).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Consolida todos los resultados en un único archivo data.json.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Genera el dashboard interactivo en output/Sprint-1/index.html.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Te muestra un resumen con métricas del sprint y el siguiente paso sugerido.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4.2 Comandos adicionales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5102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Cuándo usarlo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/refinar-sprint Sprint-X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Primera vez — analiza todas las HUs del sprint</w:t>
            </w:r>
          </w:p>
        </w:tc>
      </w:tr>
      <w:tr>
        <w:tc>
          <w:tcPr>
            <w:tcW w:type="dxa" w:w="3969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/refinar-sprint Sprint-X --iteracion</w:t>
            </w:r>
          </w:p>
        </w:tc>
        <w:tc>
          <w:tcPr>
            <w:tcW w:type="dxa" w:w="5102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Después de dar feedback — re-analiza solo las HUs rechazadas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/refinar-sprint Sprint-X --consolidar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Regenera el HTML sin re-analizar (ej: cambió el template)</w:t>
            </w:r>
          </w:p>
        </w:tc>
      </w:tr>
      <w:tr>
        <w:tc>
          <w:tcPr>
            <w:tcW w:type="dxa" w:w="3969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/refinar-hu Sprint-X "nombre.md"</w:t>
            </w:r>
          </w:p>
        </w:tc>
        <w:tc>
          <w:tcPr>
            <w:tcW w:type="dxa" w:w="5102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Analiza una sola HU (útil para pruebas o HUs nuevas)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/generar-informe Sprint-X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Genera el informe ejecutivo para el cliente</w:t>
            </w:r>
          </w:p>
        </w:tc>
      </w:tr>
      <w:tr>
        <w:tc>
          <w:tcPr>
            <w:tcW w:type="dxa" w:w="3969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/generar-specs Sprint-X</w:t>
            </w:r>
          </w:p>
        </w:tc>
        <w:tc>
          <w:tcPr>
            <w:tcW w:type="dxa" w:w="5102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Genera especificaciones técnicas SDD detalladas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Tiempo estimado de análisis: entre 3 y 8 minutos para un sprint de 10 HUs (depende del proveedor de IA y la carga del servidor).</w:t>
      </w: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Paso 5 — Explorar el dashboard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Abre el archivo output/Sprint-1/index.html en tu navegador. Verás un dashboard con cuatro tabs principales: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Tab 1: Dashboard Sprint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Vista principal del sprint. Contiene: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Calificación ISO promedio del sprint (gauge de 0 a 5)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Distribución de calificaciones por HU (Excelente / Buena / Aceptable / Deficiente)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Tabla de todas las HUs con su estado, calificación, horas estimadas y acción "Revisar"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KPIs del sprint: total de horas, riesgos críticos, preguntas de clarificación pendientes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Tab 2: Avance del Sprint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Centro de control del Valor Ganado (EVM). Se activa con la línea base de estimación. Contiene: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KPIs EVM: BAC, PV, EV, AC, CPI, SPI, EAC, ETC, VAC, TCPI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Tabla editable por HU para registrar PV, EV y AC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Gráfico de variación EVM con puntos de medición, tendencia y tooltips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Gantt SVG con la ruta crítica del sprint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Panel de riesgos agregados del sprint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Historial de mediciones (snapshots)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Botones: Registrar medición / Generar Bitácora PMO (PDF) / Descargar .md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Tab 3: Informe Cliente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Vista del informe ejecutivo generado con /generar-informe. Muestra el proyecto en lenguaje de negocio para compartir con el cliente. Se genera automáticamente desde el análisis.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Tab 4: Respaldo ▾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Menú desplegable con dos opciones críticas: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Exportar respaldo (Markdown) — descarga todo el estado del dashboard (feedback, aprobaciones, mediciones EVM, fechas, unidad) en un archivo .md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Importar respaldo (Markdown) — restaura el dashboard al estado exacto del archivo importado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D97706"/>
                <w:sz w:val="22"/>
              </w:rPr>
              <w:t xml:space="preserve">▌ </w:t>
            </w:r>
            <w:r>
              <w:rPr>
                <w:rFonts w:ascii="Calibri" w:hAnsi="Calibri"/>
                <w:b/>
                <w:color w:val="1C1A17"/>
                <w:sz w:val="22"/>
              </w:rPr>
              <w:t>IMPORTANTE: el estado vive en el navegador (localStorage)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Si limpias la caché del navegador o abres el archivo en otro computador, perderás el estado.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Exporta el respaldo al final de cada sesión de revisión.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Guarda el archivo .md en tu repositorio o Google Drive.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El banner naranja arriba del dashboard te avisará cuando tengas cambios sin exportar.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Paso 6 — Revisar historias de usuario (Focus Mode)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En la tabla del Dashboard Sprint, haz clic en el botón "Revisar" de cualquier HU. Se abrirá el Focus Mode: un panel completo con toda la información de esa HU.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6.1 Paneles del Focus Mode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Panel</w:t>
            </w:r>
          </w:p>
        </w:tc>
        <w:tc>
          <w:tcPr>
            <w:tcW w:type="dxa" w:w="6236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Narrativa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Título, rol, qué quiere y para qué. Calificación ISO y diagnóstico.</w:t>
            </w:r>
          </w:p>
        </w:tc>
      </w:tr>
      <w:tr>
        <w:tc>
          <w:tcPr>
            <w:tcW w:type="dxa" w:w="2835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Criterios de Aceptación (Gherkin)</w:t>
            </w:r>
          </w:p>
        </w:tc>
        <w:tc>
          <w:tcPr>
            <w:tcW w:type="dxa" w:w="6236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Escenarios BDD generados por el agente. Dado / Cuando / Entonces.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Tareas Técnicas (PERT)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Lista de tareas con rol asignado, estimaciones O/P/Pe y su E calculado.</w:t>
            </w:r>
          </w:p>
        </w:tc>
      </w:tr>
      <w:tr>
        <w:tc>
          <w:tcPr>
            <w:tcW w:type="dxa" w:w="2835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Riesgos</w:t>
            </w:r>
          </w:p>
        </w:tc>
        <w:tc>
          <w:tcPr>
            <w:tcW w:type="dxa" w:w="6236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Riesgos identificados con probabilidad, gravedad y nivel RISICAR.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Dependencias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HUs de las que depende esta HU y HUs que dependen de ella.</w:t>
            </w:r>
          </w:p>
        </w:tc>
      </w:tr>
      <w:tr>
        <w:tc>
          <w:tcPr>
            <w:tcW w:type="dxa" w:w="2835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Preguntas de Clarificación</w:t>
            </w:r>
          </w:p>
        </w:tc>
        <w:tc>
          <w:tcPr>
            <w:tcW w:type="dxa" w:w="6236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Preguntas que el agente necesita que el PM responda.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Feedback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Campo libre para instrucciones al agente en la siguiente iteración.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6.2 Editar estimaciones PERT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En el panel de Tareas Técnicas, cada tarea tiene tres campos editables: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O = Optimista (mejor escenario posible)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P = Probable (escenario más realista)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Pe = Pesimista (peor escenario razonable)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Al modificar cualquiera de los tres valores, la Estimación E se recalcula automáticamente con la fórmula PERT: E = (O + 4P + Pe) / 6. Los cambios se guardan automáticamente en el navegador.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6.3 Aprobar o rechazar una HU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En la barra inferior del Focus Mode: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✓ Aprobar HU — marca la HU como aprobada. Las HUs aprobadas no se re-analizan en modo --iteracion.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✗ Rechazar / Iterar — marca la HU para re-análisis. Escribe tu feedback en el panel correspondiente antes de rechazar.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Cuando todas las HUs estén aprobadas, el tab "Avance del Sprint" se activa completamente con la línea base EVM.</w:t>
      </w: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Conceptos clave del dashboard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Calificación ISO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 xml:space="preserve">Número de </w:t>
      </w:r>
      <w:r>
        <w:rPr>
          <w:rFonts w:ascii="Calibri" w:hAnsi="Calibri"/>
          <w:b/>
          <w:color w:val="1C1A17"/>
          <w:sz w:val="21"/>
        </w:rPr>
        <w:t>0 a 5</w:t>
      </w:r>
      <w:r>
        <w:rPr>
          <w:rFonts w:ascii="Calibri" w:hAnsi="Calibri"/>
          <w:color w:val="1C1A17"/>
          <w:sz w:val="21"/>
        </w:rPr>
        <w:t xml:space="preserve"> que mide la calidad de la historia de usuario según tres estándares: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Ponderación</w:t>
            </w:r>
          </w:p>
        </w:tc>
        <w:tc>
          <w:tcPr>
            <w:tcW w:type="dxa" w:w="2551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Estándar</w:t>
            </w:r>
          </w:p>
        </w:tc>
        <w:tc>
          <w:tcPr>
            <w:tcW w:type="dxa" w:w="5102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Qué mide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50%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ISO/IEC/IEEE 29148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9 atributos: Necesario, Apropiado, Inequívoco, Completo, Singular, Factible, Verificable, Correcto, Conforme</w:t>
            </w:r>
          </w:p>
        </w:tc>
      </w:tr>
      <w:tr>
        <w:tc>
          <w:tcPr>
            <w:tcW w:type="dxa" w:w="1417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30%</w:t>
            </w:r>
          </w:p>
        </w:tc>
        <w:tc>
          <w:tcPr>
            <w:tcW w:type="dxa" w:w="2551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INVEST</w:t>
            </w:r>
          </w:p>
        </w:tc>
        <w:tc>
          <w:tcPr>
            <w:tcW w:type="dxa" w:w="5102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6 criterios: Independiente, Negociable, Valiosa, Estimable, Small (pequeña), Testeable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20%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ISO/IEC 25010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Cobertura de características de calidad del producto: funcionalidad, rendimiento, seguridad, usabilidad, etc.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701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Rango</w:t>
            </w:r>
          </w:p>
        </w:tc>
        <w:tc>
          <w:tcPr>
            <w:tcW w:type="dxa" w:w="5386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Excelente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≥ 4.5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HU lista para desarrollo. Sin bloqueos.</w:t>
            </w:r>
          </w:p>
        </w:tc>
      </w:tr>
      <w:tr>
        <w:tc>
          <w:tcPr>
            <w:tcW w:type="dxa" w:w="1984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Buena</w:t>
            </w:r>
          </w:p>
        </w:tc>
        <w:tc>
          <w:tcPr>
            <w:tcW w:type="dxa" w:w="1701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3.5 – 4.4</w:t>
            </w:r>
          </w:p>
        </w:tc>
        <w:tc>
          <w:tcPr>
            <w:tcW w:type="dxa" w:w="5386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HU sólida. Revisión recomendada pero no bloqueante.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Aceptable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2.5 – 3.4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HU con ambigüedades. Requiere refinamiento antes de desarrollar.</w:t>
            </w:r>
          </w:p>
        </w:tc>
      </w:tr>
      <w:tr>
        <w:tc>
          <w:tcPr>
            <w:tcW w:type="dxa" w:w="1984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Deficiente</w:t>
            </w:r>
          </w:p>
        </w:tc>
        <w:tc>
          <w:tcPr>
            <w:tcW w:type="dxa" w:w="1701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&lt; 2.5</w:t>
            </w:r>
          </w:p>
        </w:tc>
        <w:tc>
          <w:tcPr>
            <w:tcW w:type="dxa" w:w="5386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HU con problemas serios. No debe entrar al sprint sin corrección.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Estimación PERT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Técnica de estimación probabilística que usa tres escenarios para cada tarea: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O (Optimista): horas si todo sale perfecto, sin interrupciones.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P (Probable): horas en condiciones normales de trabajo.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Pe (Pesimista): horas si surgen problemas o dependencias bloqueantes.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La Estimación E pondera estos tres valores: E = (O + 4×P + Pe) / 6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La varianza σ² = ((Pe - O) / 6)² indica el nivel de incertidumbre de cada tarea. A mayor diferencia entre O y Pe, mayor riesgo en la estimación.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RISICAR — Matriz de riesgos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Metodología de gestión de riesgos del DAFP (Colombia). Cada riesgo se califica según: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Probabilidad: 1 (Rara) → 5 (Casi Segura)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Gravedad/Impacto: 1 (Insignificante) → 5 (Catastrófico)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Nivel de riesgo = Probabilidad × Gravedad. La clasificación 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417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Rango</w:t>
            </w:r>
          </w:p>
        </w:tc>
        <w:tc>
          <w:tcPr>
            <w:tcW w:type="dxa" w:w="1417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Color</w:t>
            </w:r>
          </w:p>
        </w:tc>
        <w:tc>
          <w:tcPr>
            <w:tcW w:type="dxa" w:w="4535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Acción requerida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Tolerable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1 – 4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Verde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Monitorear periódicamente</w:t>
            </w:r>
          </w:p>
        </w:tc>
      </w:tr>
      <w:tr>
        <w:tc>
          <w:tcPr>
            <w:tcW w:type="dxa" w:w="1701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Grave</w:t>
            </w:r>
          </w:p>
        </w:tc>
        <w:tc>
          <w:tcPr>
            <w:tcW w:type="dxa" w:w="1417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5 – 9</w:t>
            </w:r>
          </w:p>
        </w:tc>
        <w:tc>
          <w:tcPr>
            <w:tcW w:type="dxa" w:w="1417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Ámbar</w:t>
            </w:r>
          </w:p>
        </w:tc>
        <w:tc>
          <w:tcPr>
            <w:tcW w:type="dxa" w:w="4535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Definir plan de mitigación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Crítico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10 – 14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Rojo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Acción inmediata del líder del proyecto</w:t>
            </w:r>
          </w:p>
        </w:tc>
      </w:tr>
      <w:tr>
        <w:tc>
          <w:tcPr>
            <w:tcW w:type="dxa" w:w="1701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Inaceptable</w:t>
            </w:r>
          </w:p>
        </w:tc>
        <w:tc>
          <w:tcPr>
            <w:tcW w:type="dxa" w:w="1417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15 – 25</w:t>
            </w:r>
          </w:p>
        </w:tc>
        <w:tc>
          <w:tcPr>
            <w:tcW w:type="dxa" w:w="1417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Rojo oscuro</w:t>
            </w:r>
          </w:p>
        </w:tc>
        <w:tc>
          <w:tcPr>
            <w:tcW w:type="dxa" w:w="4535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Escalar a dirección. No iniciar sin mitigación.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Métricas de Valor Ganado (EVM)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El Valor Ganado (Earned Value Management) es la metodología del PMI-PMBOK 7 para medir el desempeño real de un proyecto comparado con su línea base. El dashboard implementa las siguientes métricas: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Métricas 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Sigla</w:t>
            </w:r>
          </w:p>
        </w:tc>
        <w:tc>
          <w:tcPr>
            <w:tcW w:type="dxa" w:w="2268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5669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BAC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Budget at Completion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Presupuesto total del sprint (horas o COP). Se establece al aprobar todas las HUs.</w:t>
            </w:r>
          </w:p>
        </w:tc>
      </w:tr>
      <w:tr>
        <w:tc>
          <w:tcPr>
            <w:tcW w:type="dxa" w:w="1134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PV</w:t>
            </w:r>
          </w:p>
        </w:tc>
        <w:tc>
          <w:tcPr>
            <w:tcW w:type="dxa" w:w="2268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Planned Value</w:t>
            </w:r>
          </w:p>
        </w:tc>
        <w:tc>
          <w:tcPr>
            <w:tcW w:type="dxa" w:w="5669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Trabajo planificado hasta hoy según el cronograma base.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EV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Earned Value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Valor del trabajo realmente completado hasta hoy.</w:t>
            </w:r>
          </w:p>
        </w:tc>
      </w:tr>
      <w:tr>
        <w:tc>
          <w:tcPr>
            <w:tcW w:type="dxa" w:w="1134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AC</w:t>
            </w:r>
          </w:p>
        </w:tc>
        <w:tc>
          <w:tcPr>
            <w:tcW w:type="dxa" w:w="2268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Actual Cost</w:t>
            </w:r>
          </w:p>
        </w:tc>
        <w:tc>
          <w:tcPr>
            <w:tcW w:type="dxa" w:w="5669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Costo real incurrido hasta hoy (horas consumidas o COP gastados).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Índices de desempeño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Sigla</w:t>
            </w:r>
          </w:p>
        </w:tc>
        <w:tc>
          <w:tcPr>
            <w:tcW w:type="dxa" w:w="1701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6236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CPI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EV / AC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Eficiencia de costo. &gt;1 = bajo presupuesto. &lt;1 = sobre presupuesto.</w:t>
            </w:r>
          </w:p>
        </w:tc>
      </w:tr>
      <w:tr>
        <w:tc>
          <w:tcPr>
            <w:tcW w:type="dxa" w:w="1134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SPI</w:t>
            </w:r>
          </w:p>
        </w:tc>
        <w:tc>
          <w:tcPr>
            <w:tcW w:type="dxa" w:w="1701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EV / PV</w:t>
            </w:r>
          </w:p>
        </w:tc>
        <w:tc>
          <w:tcPr>
            <w:tcW w:type="dxa" w:w="6236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Eficiencia de cronograma. &gt;1 = adelantado. &lt;1 = retrasado.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CV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EV − AC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Variación de costo. Positivo = ahorro. Negativo = desviación.</w:t>
            </w:r>
          </w:p>
        </w:tc>
      </w:tr>
      <w:tr>
        <w:tc>
          <w:tcPr>
            <w:tcW w:type="dxa" w:w="1134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SV</w:t>
            </w:r>
          </w:p>
        </w:tc>
        <w:tc>
          <w:tcPr>
            <w:tcW w:type="dxa" w:w="1701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EV − PV</w:t>
            </w:r>
          </w:p>
        </w:tc>
        <w:tc>
          <w:tcPr>
            <w:tcW w:type="dxa" w:w="6236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Variación de cronograma. Positivo = adelanto. Negativo = retraso.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Métricas de proyección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Sigla</w:t>
            </w:r>
          </w:p>
        </w:tc>
        <w:tc>
          <w:tcPr>
            <w:tcW w:type="dxa" w:w="2835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5102"/>
            <w:shd w:val="clear" w:color="auto" w:fill="FF7E0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Qué predice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EAC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BAC / CPI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Estimación final del costo total al cierre del sprint.</w:t>
            </w:r>
          </w:p>
        </w:tc>
      </w:tr>
      <w:tr>
        <w:tc>
          <w:tcPr>
            <w:tcW w:type="dxa" w:w="1134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ETC</w:t>
            </w:r>
          </w:p>
        </w:tc>
        <w:tc>
          <w:tcPr>
            <w:tcW w:type="dxa" w:w="2835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EAC − AC</w:t>
            </w:r>
          </w:p>
        </w:tc>
        <w:tc>
          <w:tcPr>
            <w:tcW w:type="dxa" w:w="5102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Costo restante para completar el sprint.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VAC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BAC − EAC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Variación al cierre. Negativo = terminará sobre presupuesto.</w:t>
            </w:r>
          </w:p>
        </w:tc>
      </w:tr>
      <w:tr>
        <w:tc>
          <w:tcPr>
            <w:tcW w:type="dxa" w:w="1134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TCPI</w:t>
            </w:r>
          </w:p>
        </w:tc>
        <w:tc>
          <w:tcPr>
            <w:tcW w:type="dxa" w:w="2835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(BAC−EV) / (BAC−AC)</w:t>
            </w:r>
          </w:p>
        </w:tc>
        <w:tc>
          <w:tcPr>
            <w:tcW w:type="dxa" w:w="5102"/>
            <w:shd w:val="clear" w:color="auto" w:fill="FAF8F6"/>
          </w:tcPr>
          <w:p>
            <w:pPr>
              <w:spacing w:before="40" w:after="40"/>
            </w:pPr>
            <w:r>
              <w:rPr>
                <w:rFonts w:ascii="Calibri" w:hAnsi="Calibri"/>
                <w:color w:val="1C1A17"/>
                <w:sz w:val="19"/>
              </w:rPr>
              <w:t>CPI que se necesita mantener para terminar en presupuesto.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Cómo registrar mediciones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Ve a la tab "Avance del Sprint" en el dashboard.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Configura las fechas de inicio y fin del sprint.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Selecciona la unidad de medición: COP (pesos colombianos) o Horas.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En la tabla por HU, ingresa los valores de PV, EV y AC para cada historia.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Haz clic en "Registrar medición" para guardar un snapshot del día.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El gráfico se actualiza automáticamente mostrando la línea base (PV), el avance real (EV), el costo real (AC) y la tendencia proyectada.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2563EB"/>
                <w:sz w:val="22"/>
              </w:rPr>
              <w:t xml:space="preserve">▌ </w:t>
            </w:r>
            <w:r>
              <w:rPr>
                <w:rFonts w:ascii="Calibri" w:hAnsi="Calibri"/>
                <w:b/>
                <w:color w:val="1C1A17"/>
                <w:sz w:val="22"/>
              </w:rPr>
              <w:t>Frecuencia recomendada de medición: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• Sprints de 1 semana: medir cada día hábil.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• Sprints de 2 semanas: medir 2-3 veces por semana.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• Sprints de 3-4 semanas: medir mínimo 2 veces por semana.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Los snapshots quedan en el historial y se incluyen en la Bitácora PMO.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Cronograma y Gantt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El dashboard genera automáticamente un diagrama de Gantt SVG basado en las estimaciones PERT de las tareas. El Gantt muestra: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Cada tarea como una barra horizontal con su duración estimada (E)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La ruta crítica del sprint (las tareas que determinan la duración mínima)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El calendario de días hábiles, excluyendo fines de semana y festivos colombianos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Las dependencias entre tareas (si una no puede empezar hasta que otra termine)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Fechas del sprint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Para que el Gantt sea preciso, configura las fechas de inicio y fin en la tab "Avance del Sprint":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Fecha de inicio: primer día hábil del sprint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Fecha de fin: último día hábil del sprint (o usa el botón "Auto" para calcularla desde la capacidad del equipo)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Interpretación del Gantt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Las barras naranjas representan las tareas en la ruta crítica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Las barras grises son tareas con holgura (pueden retrasarse sin afectar la entrega)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Si el Gantt supera la fecha de fin del sprint, hay una alerta de capacidad insuficiente</w:t>
      </w: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Bitácora PMO y cierre del sprint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8.1 Generar la Bitácora PMO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Al final del sprint, ve a la tab "Avance del Sprint" y haz clic en "Generar Bitácora PMO (PDF)". Se abre la vista de impresión del navegador con un informe estructurado que incluye: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Datos del sprint (fechas, equipo, BAC)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KPIs EVM finales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Historial completo de mediciones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Gráfico EVM con la imagen del estado al momento de generar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C1A17"/>
          <w:sz w:val="21"/>
        </w:rPr>
        <w:t>Top 5 riesgos más graves del sprint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También puedes descargar la bitácora como archivo .md (botón "Descargar .md") para archivar o compartir por email.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6"/>
        </w:rPr>
        <w:t>8.2 Retrospectiva y preparación del siguiente sprint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 xml:space="preserve">Antes de empezar el siguiente sprint, </w:t>
      </w:r>
      <w:r>
        <w:rPr>
          <w:rFonts w:ascii="Calibri" w:hAnsi="Calibri"/>
          <w:b/>
          <w:color w:val="1C1A17"/>
          <w:sz w:val="21"/>
        </w:rPr>
        <w:t>actualiza los documentos de contexto</w:t>
      </w:r>
      <w:r>
        <w:rPr>
          <w:rFonts w:ascii="Calibri" w:hAnsi="Calibri"/>
          <w:color w:val="1C1A17"/>
          <w:sz w:val="21"/>
        </w:rPr>
        <w:t xml:space="preserve"> con los aprendizajes del sprint terminado: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Abre docs/contexto/contexto-funcional.md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Actualiza las reglas de negocio con lo aprendido.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Agrega cualquier actor o proceso descubierto durante el sprint.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Haz lo mismo con contexto-tecnico.md: agrega nuevas restricciones técnicas, servicios descubiertos, o cambios en el stack.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C1A17"/>
          <w:sz w:val="21"/>
        </w:rPr>
        <w:t>Exporta el respaldo final del dashboard (Respaldo → Exportar) y guárdalo en el repositorio junto con los .md de las HUs.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FF7E08"/>
                <w:sz w:val="22"/>
              </w:rPr>
              <w:t xml:space="preserve">▌ </w:t>
            </w:r>
            <w:r>
              <w:rPr>
                <w:rFonts w:ascii="Calibri" w:hAnsi="Calibri"/>
                <w:b/>
                <w:color w:val="1C1A17"/>
                <w:sz w:val="22"/>
              </w:rPr>
              <w:t>Ciclo completo del Requirement Refinator: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1. Crear/actualizar contexto-funcional.md + contexto-tecnico.md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2. Agregar HUs del sprint en docs/HUs/Sprint-X/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3. /refinar-sprint Sprint-X  →  análisis en paralelo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4. Revisar HUs en el dashboard: ajustar PERT, responder preguntas, aprobar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5. Si hay rechazos: /refinar-sprint Sprint-X --iteracion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6. Durante el sprint: registrar mediciones EVM periódicamente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7. Al cierre: Generar Bitácora PMO + Exportar respaldo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1C1A17"/>
                <w:sz w:val="20"/>
              </w:rPr>
              <w:t>8. Retrospectiva: actualizar contexto → volver al paso 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18" w:space="4" w:color="FF7E08"/>
        </w:pBdr>
      </w:pPr>
      <w:r>
        <w:rPr>
          <w:rFonts w:ascii="Calibri" w:hAnsi="Calibri"/>
          <w:b/>
          <w:color w:val="FF7E08"/>
          <w:sz w:val="36"/>
        </w:rPr>
        <w:t>Preguntas frecuentes</w:t>
      </w:r>
    </w:p>
    <w:p>
      <w:pPr>
        <w:spacing w:before="160" w:after="40"/>
      </w:pPr>
      <w:r>
        <w:rPr>
          <w:rFonts w:ascii="Calibri" w:hAnsi="Calibri"/>
          <w:b/>
          <w:color w:val="78716C"/>
          <w:sz w:val="22"/>
        </w:rPr>
        <w:t>¿Qué pasa si borro la caché del navegador?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Perderás el estado del dashboard (aprobaciones, feedback, mediciones EVM). Por eso es crítico exportar el respaldo Markdown regularmente. Para recuperar el estado, importa el último .md con Respaldo → Importar.</w:t>
      </w:r>
    </w:p>
    <w:p>
      <w:pPr>
        <w:spacing w:before="160" w:after="40"/>
      </w:pPr>
      <w:r>
        <w:rPr>
          <w:rFonts w:ascii="Calibri" w:hAnsi="Calibri"/>
          <w:b/>
          <w:color w:val="78716C"/>
          <w:sz w:val="22"/>
        </w:rPr>
        <w:t>¿Puedo trabajar con el mismo sprint en dos computadores?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Sí, pero debes sincronizar el estado manualmente: exporta el respaldo en el computador A, copia el archivo .md al computador B, e impórtalo desde el dashboard en B.</w:t>
      </w:r>
    </w:p>
    <w:p>
      <w:pPr>
        <w:spacing w:before="160" w:after="40"/>
      </w:pPr>
      <w:r>
        <w:rPr>
          <w:rFonts w:ascii="Calibri" w:hAnsi="Calibri"/>
          <w:b/>
          <w:color w:val="78716C"/>
          <w:sz w:val="22"/>
        </w:rPr>
        <w:t>¿Puedo tener varios sprints activos al mismo tiempo?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Sí. Cada sprint tiene su propia carpeta output/Sprint-X/ con su propio index.html. El estado en localStorage es independiente por sprint.</w:t>
      </w:r>
    </w:p>
    <w:p>
      <w:pPr>
        <w:spacing w:before="160" w:after="40"/>
      </w:pPr>
      <w:r>
        <w:rPr>
          <w:rFonts w:ascii="Calibri" w:hAnsi="Calibri"/>
          <w:b/>
          <w:color w:val="78716C"/>
          <w:sz w:val="22"/>
        </w:rPr>
        <w:t>¿Qué hago si el agente genera un análisis incompleto?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Escribe feedback en el panel de la HU, márcala como rechazada, y ejecuta /refinar-sprint Sprint-X --iteracion. El agente re-analiza solo las HUs rechazadas, preservando las aprobadas.</w:t>
      </w:r>
    </w:p>
    <w:p>
      <w:pPr>
        <w:spacing w:before="160" w:after="40"/>
      </w:pPr>
      <w:r>
        <w:rPr>
          <w:rFonts w:ascii="Calibri" w:hAnsi="Calibri"/>
          <w:b/>
          <w:color w:val="78716C"/>
          <w:sz w:val="22"/>
        </w:rPr>
        <w:t>¿Puedo cambiar las estimaciones PERT sin re-analizar?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Sí. Las estimaciones PERT son editables directamente en el Focus Mode de cada HU. Los cambios se guardan automáticamente y se reflejan en el EVM.</w:t>
      </w:r>
    </w:p>
    <w:p>
      <w:pPr>
        <w:spacing w:before="160" w:after="40"/>
      </w:pPr>
      <w:r>
        <w:rPr>
          <w:rFonts w:ascii="Calibri" w:hAnsi="Calibri"/>
          <w:b/>
          <w:color w:val="78716C"/>
          <w:sz w:val="22"/>
        </w:rPr>
        <w:t>¿El dashboard funciona sin conexión a internet?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Casi completamente. El dashboard es un HTML autónomo. Solo el gráfico EVM intenta cargar Chart.js por CDN; si no hay internet, cae a un SVG de respaldo.</w:t>
      </w:r>
    </w:p>
    <w:p>
      <w:pPr>
        <w:spacing w:before="160" w:after="40"/>
      </w:pPr>
      <w:r>
        <w:rPr>
          <w:rFonts w:ascii="Calibri" w:hAnsi="Calibri"/>
          <w:b/>
          <w:color w:val="78716C"/>
          <w:sz w:val="22"/>
        </w:rPr>
        <w:t>¿Cómo actualizo el proyecto cuando hay una nueva versión?</w:t>
      </w:r>
    </w:p>
    <w:p>
      <w:pPr>
        <w:spacing w:before="40" w:after="80"/>
      </w:pPr>
      <w:r>
        <w:rPr>
          <w:rFonts w:ascii="Calibri" w:hAnsi="Calibri"/>
          <w:color w:val="1C1A17"/>
          <w:sz w:val="21"/>
        </w:rPr>
        <w:t>Ejecuta git pull en la carpeta del proyecto. El template, los agentes y los skills se actualizan. Tus datos (output/, docs/) no se tocan porque están en .gitignore.</w:t>
      </w:r>
    </w:p>
    <w:p>
      <w:pPr>
        <w:spacing w:before="160" w:after="160"/>
        <w:pBdr>
          <w:bottom w:val="single" w:sz="6" w:space="4" w:color="E7E5E4"/>
        </w:pBdr>
      </w:pPr>
    </w:p>
    <w:p>
      <w:pPr>
        <w:spacing w:before="240"/>
        <w:jc w:val="center"/>
      </w:pPr>
      <w:r>
        <w:rPr>
          <w:rFonts w:ascii="Calibri" w:hAnsi="Calibri"/>
          <w:i/>
          <w:color w:val="78716C"/>
          <w:sz w:val="18"/>
        </w:rPr>
        <w:t>Requirement Refinator · MetodologIA · Creado por Mauricio Sepúlveda Henao con Claude Code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