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44"/>
        </w:rPr>
        <w:t>IDOR Response Platform - Executive Summary</w:t>
      </w:r>
    </w:p>
    <w:p>
      <w:r>
        <w:br w:type="page"/>
      </w:r>
    </w:p>
    <w:p>
      <w:pPr>
        <w:pStyle w:val="Heading1"/>
      </w:pPr>
      <w:r>
        <w:t>Executive Summary - IDOR Response Platform</w:t>
      </w:r>
    </w:p>
    <w:p/>
    <w:p>
      <w:pPr>
        <w:pStyle w:val="Heading1"/>
      </w:pPr>
      <w:r>
        <w:t>Problem</w:t>
      </w:r>
    </w:p>
    <w:p/>
    <w:p>
      <w:r>
        <w:t>High-volume suspicious access patterns require fast investigation, evidence preservation and safe response. IDOR exploitation can expose sensitive business objects such as invoices.</w:t>
      </w:r>
    </w:p>
    <w:p/>
    <w:p>
      <w:pPr>
        <w:pStyle w:val="Heading1"/>
      </w:pPr>
      <w:r>
        <w:t>Impact</w:t>
      </w:r>
    </w:p>
    <w:p/>
    <w:p>
      <w:r>
        <w:t>| Field | Value |</w:t>
      </w:r>
    </w:p>
    <w:p>
      <w:r>
        <w:t>| --- | --- |</w:t>
      </w:r>
    </w:p>
    <w:p>
      <w:r>
        <w:t>| Severity | critical |</w:t>
      </w:r>
    </w:p>
    <w:p>
      <w:r>
        <w:t>| Priority | P1 |</w:t>
      </w:r>
    </w:p>
    <w:p>
      <w:r>
        <w:t>| Logs processed | 4.478.619 |</w:t>
      </w:r>
    </w:p>
    <w:p>
      <w:r>
        <w:t>| IPs analyzed | 5.726 |</w:t>
      </w:r>
    </w:p>
    <w:p>
      <w:r>
        <w:t>| IDOR findings | 182 |</w:t>
      </w:r>
    </w:p>
    <w:p>
      <w:r>
        <w:t>| Anomalous IPs | 172 |</w:t>
      </w:r>
    </w:p>
    <w:p>
      <w:r>
        <w:t>| IOCs generated | 586 |</w:t>
      </w:r>
    </w:p>
    <w:p>
      <w:r>
        <w:t>| Invoices involved | 10221 |</w:t>
      </w:r>
    </w:p>
    <w:p/>
    <w:p>
      <w:pPr>
        <w:pStyle w:val="Heading1"/>
      </w:pPr>
      <w:r>
        <w:t>Results</w:t>
      </w:r>
    </w:p>
    <w:p/>
    <w:p>
      <w:r>
        <w:t>The platform generated forensic evidence, agentic investigation outputs, human approval logs, NIST response metrics, observability metrics and final documentation.</w:t>
      </w:r>
    </w:p>
    <w:p/>
    <w:p>
      <w:pPr>
        <w:pStyle w:val="Heading1"/>
      </w:pPr>
      <w:r>
        <w:t>Governance</w:t>
      </w:r>
    </w:p>
    <w:p/>
    <w:p>
      <w:r>
        <w:t>All containment runs in dry-run mode. Human reviewers can approve, reject, modify or request additional evidence. This reduces unsafe automated containment risk.</w:t>
      </w:r>
    </w:p>
    <w:p/>
    <w:p>
      <w:pPr>
        <w:pStyle w:val="Heading1"/>
      </w:pPr>
      <w:r>
        <w:t>Recommendation</w:t>
      </w:r>
    </w:p>
    <w:p/>
    <w:p>
      <w:r>
        <w:t>Proceed with object-level authorization hardening, rate limiting, token review, WAF rule updates and production hardening for SIEM/RBAC/cloud deployment.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