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Informe de avance</w:t>
      </w:r>
    </w:p>
    <w:p>
      <w:pPr>
        <w:spacing w:after="40"/>
      </w:pPr>
      <w:r>
        <w:rPr>
          <w:i/>
          <w:iCs/>
          <w:sz w:val="26"/>
          <w:szCs w:val="26"/>
        </w:rPr>
        <w:t xml:space="preserve">Fragilidad Bancaria y Riesgos del Crecimiento a la Baja: Cómo la Interacción entre JLoss y GaR Determina el Spread Soberano en Economías en Desarrollo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Consolidación de datos y primera estimación empírica del panel</w:t>
      </w:r>
    </w:p>
    <w:p>
      <w:pPr>
        <w:pStyle w:val="Heading1"/>
        <w:spacing w:after="150" w:before="300"/>
      </w:pPr>
      <w:r>
        <w:t xml:space="preserve">1. Resumen ejecutivo</w:t>
      </w:r>
    </w:p>
    <w:p>
      <w:pPr>
        <w:spacing w:after="160"/>
      </w:pPr>
      <w:r>
        <w:t xml:space="preserve">Este informe documenta el trabajo de consolidación de datos y estimación empírica realizado desde que se recibió el panel GaR actualizado de 15 países (gar_panel_all15.csv). El eje del trabajo fue completar y verificar las tres fuentes que alimentan el panel (EMBI, GaR, JLoss), reconstruir Panel_final.csv con una ventana temporal más larga y un GaR más robusto, extender el panel a 15 países donde los datos lo permiten, e incorporar los controles del paper de referencia de JLoss (Chari et al., 2024, Journal of Financial Stability).</w:t>
      </w:r>
    </w:p>
    <w:p>
      <w:pPr>
        <w:spacing w:after="160"/>
      </w:pPr>
      <w:r>
        <w:t xml:space="preserve">El resultado central sostiene la hipótesis de complementariedad: el coeficiente de interacción JLoss × GaR es negativo y estadísticamente significativo en el núcleo de cinco países latinoamericanos (Brasil, Chile, Colombia, México, Perú), tanto en la ventana original (2010Q1-2022Q2) como en la ventana extendida (2007Q4-2022Q2), y es robusto a la inclusión de los controles domésticos y globales del paper de referencia. La extensión a países fuera de LatAm, en cambio, no confirma el mismo patrón de forma limpia — hallazgo que se documenta explícitamente como evidencia exploratoria, no como parte del resultado principal.</w:t>
      </w:r>
    </w:p>
    <w:p>
      <w:pPr>
        <w:pStyle w:val="Heading1"/>
        <w:spacing w:after="150" w:before="300"/>
      </w:pPr>
      <w:r>
        <w:t xml:space="preserve">2. Trabajo realizado, por bloque</w:t>
      </w:r>
    </w:p>
    <w:p>
      <w:pPr>
        <w:pStyle w:val="Heading2"/>
        <w:spacing w:after="120" w:before="240"/>
      </w:pPr>
      <w:r>
        <w:t xml:space="preserve">2.1 Auditoría y consolidación del EMBI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verificó la cobertura del Excel de spreads EMBI del BCRP: solo 5 de los 15 países del panel GaR tienen EMBI real ahí (Brasil, Chile, Colombia, México, Perú), diario 2007-2025, agregado a trimestral.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identificaron los 10 países sin EMBI en esa fuente (Bulgaria, China, Hungría, India, Indonesia, Pakistán, Polonia, Sudáfrica, Corea del Sur, Turquía) y se investigaron alternativas: series de rendimiento de bonos 10 años vía FRED/OCDE como proxy de spread contra el UST10Y.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identificó y resolvió un riesgo metodológico real: el proxy de bono 10Y comparte a Ryr con uno de los insumos del índice de condiciones financieras (FCI) que alimenta el GaR, lo que generaría colinealidad mecánica entre GaR y el EMBI-proxy para esos países. Se revisó el paper de referencia de JLoss para evaluar CDS como alternativa; se concluyó que CDS tiene el mismo problema de acceso a datos (Bloomberg/Refinitiv) que el EMBI real para los países frontera, sin resolver el problema de cobertura.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Hallazgo clave: se recuperaron tablas reales del FMI (Global Financial Stability Report, ediciones 2011 a 2015) con series EMBI Global genuinas (JPMorgan) para 8 de los 10 países faltantes, cubriendo 2010Q1-2014Q4 (Bulgaria hasta 2013Q4, sale del índice después — probable reclasificación a investment grade). Se consolidaron en EMBI_real_8countries_2006_2014.csv.</w:t>
      </w:r>
    </w:p>
    <w:p>
      <w:pPr>
        <w:pStyle w:val="Heading2"/>
        <w:spacing w:after="120" w:before="240"/>
      </w:pPr>
      <w:r>
        <w:t xml:space="preserve">2.2 Auditoría y extracción de JLoss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auditó el repositorio JLoss-pipeline (extractores por país, esquema v8): 5 países con extracción real corrida (Brasil, Chile, Colombia, México, Perú); 7 países con extractor de código escrito y probado con datos simulados pero sin correr contra la fuente real por la restricción de red del entorno (Turquía, Sudáfrica —con ~340 XML crudos de BA900 ya descargados—, Polonia, Bulgaria, Indonesia, Pakistán, China); y 3 países sin ningún trabajo previo (Hungría, India, Corea del Sur).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investigaron fuentes para los 3 países faltantes y se documentaron en JLoss_update_plan.md (sección M, “Hito 6”): Hungría (MNB, Aranykönyv/Libro de Oro, anual, cobertura de precios muy limitada — solo OTP Bank cotiza), India (RBI, Statistical Tables Relating to Banks in India, anual pero el mejor universo de bancos cotizados de los tres), Corea del Sur (FSS FISIS/DART, trimestral — la mejor combinación fuente/frecuencia/cotizante).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recibió Jloss.dta, la serie histórica real de JLoss (19 países, 1999Q1-2022Q2), y se integró al panel.</w:t>
      </w:r>
    </w:p>
    <w:p>
      <w:pPr>
        <w:pStyle w:val="Heading2"/>
        <w:spacing w:after="120" w:before="240"/>
      </w:pPr>
      <w:r>
        <w:t xml:space="preserve">2.3 Consolidación de paneles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Panel_final_prebackup.csv — “LatAm corta”: la versión original del núcleo LatAm, 5 países, 2010Q1-2022Q2, 248 observaciones.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Panel_final.csv — “LatAm larga”: mismos 5 países y mismo EMBI real, pero con el GaR reconstruido desde gar_panel_all15.csv (más historia de entrenamiento), lo que extiende la ventana a 2007Q4. 293 observaciones.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Panel_extended_15paises.csv — panel extendido: agrega Bulgaria, China, Indonesia, Polonia, Sudáfrica y Turquía con EMBI real (BCRP + GFSR, sin proxies), cruzado con GaR y JLoss. 395 observaciones, 11 países con intersección de las tres fuentes (India, Hungría, Corea del Sur y Pakistán quedan fuera por falta de JLoss o de traslape temporal).</w:t>
      </w:r>
    </w:p>
    <w:p>
      <w:pPr>
        <w:pStyle w:val="Heading2"/>
        <w:spacing w:after="120" w:before="240"/>
      </w:pPr>
      <w:r>
        <w:t xml:space="preserve">2.4 Controles del paper de referencia de JLoss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Controles domésticos existentes (deuda/PIB, balance fiscal, reservas/PIB, cuenta corriente/PIB, inflación, tipo de cambio real) y VIX/g_GDP de la plataforma CEMLA, incorporados a la base larga con el mismo parche de deuda de Chile (Banco Central de Chile) ya documentado en el proyecto.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recomendaron métricas adicionales de riesgo sistémico de la literatura citada en el paper (Giglio et al., 2016): TED Spread y Term Spread como las más viables de replicar; Absorption Ratio y CatFin como opciones de mayor costo de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construyeron los 3 factores globales del paper (10-year U.S. Treasury rate, U.S. High Yield spread, On/off-the-run U.S. Treasury spread) vía script portable (fetch_global_controls.py + add_paper_controls.py), replicando la metodología exacta del paper incluida la construcción del spread on/off-the-run desde el dataset público de la Fed (Gürkaynak-Sack-Wright).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reconstruyó “profit margin” (control del paper) desde archivos crudos del pipeline MATLAB legado, recuperando la estructura banco/fecha cruzando el .xls con el .mat original. Cobertura real: 1999-2011 únicamente; falta 2012 en adelante.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Exchange-rate volatility queda pendiente — no hay fuente construida todavía.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detectó y corrigió una corrupción de datos ocurrida durante una corrida local (países completos desaparecidos del panel extendido, filas truncadas de forma inconsistente entre bases); los tres paneles se reconstruyeron desde la última versión íntegra.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construyeron dos índices agregados en lugar de seis controles sueltos: X_dom_idx (deuda/PIB + profit margin, doméstico, usado con efectos fijos país+tiempo) y X_global_idx (UST10Y + on/off-the-run, global, usado con efectos fijos de país únicamente). La separación se justificó empíricamente: mezclados en un solo índice bajo efectos fijos país+tiempo, el componente global queda absorbido por los efectos de tiempo y pierde poder de forma artificial.</w:t>
      </w:r>
    </w:p>
    <w:p>
      <w:pPr>
        <w:pStyle w:val="Heading2"/>
        <w:spacing w:after="120" w:before="240"/>
      </w:pPr>
      <w:r>
        <w:t xml:space="preserve">2.5 Regresiones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revisó Regresiones_panel.Rmd (especificación original: errores estándar Driscoll-Kraay, efectos fijos bidireccionales, batería M1-M6, robustez y diagnósticos).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construyó Regresiones_panel_v2.Rmd, que analiza las tres bases (corta, larga, extendida) en un mismo documento: batería principal lado a lado, efecto marginal de JLoss según severidad del GaR, comparación de errores estándar, subperiodo sin COVID, especificación dinámica, batería agrupado-a-efectos-fijos, panel extendido (muestra completa y ventana común 2010-2014), la sección de índices agregados, y una tabla de síntesis que triangula el coeficiente de interacción a través de todas las especificaciones.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validó la lógica de estimación en Python (linearmodels/PanelOLS) como sustituto de ejecutar el .Rmd (no hay R instalado en este entorno), replicando los resultados clave antes de entregarlos.</w:t>
      </w:r>
    </w:p>
    <w:p>
      <w:pPr>
        <w:pStyle w:val="Heading1"/>
        <w:spacing w:after="150" w:before="300"/>
      </w:pPr>
      <w:r>
        <w:t xml:space="preserve">3. Hallazgos empíricos principales</w:t>
      </w:r>
    </w:p>
    <w:p>
      <w:pPr>
        <w:spacing w:after="160"/>
      </w:pPr>
      <w:r>
        <w:rPr>
          <w:b/>
          <w:bCs/>
        </w:rPr>
        <w:t xml:space="preserve">Núcleo LatAm, resultado robusto. </w:t>
      </w:r>
      <w:r>
        <w:t xml:space="preserve">El coeficiente de interacción θ (JLoss × GaR) es negativo y significativo tanto en la base corta (θ≈-0.35, p&lt;0.01) como en la larga (θ≈-0.34, p≈0.01). Extender la ventana de entrenamiento del GaR no cambia la conclusión central.</w:t>
      </w:r>
    </w:p>
    <w:p>
      <w:pPr>
        <w:spacing w:after="160"/>
      </w:pPr>
      <w:r>
        <w:rPr>
          <w:b/>
          <w:bCs/>
        </w:rPr>
        <w:t xml:space="preserve">Robusto a los controles del paper de referencia. </w:t>
      </w:r>
      <w:r>
        <w:t xml:space="preserve">Con los índices agregados X_dom_idx y X_global_idx, θ se mantiene negativo y significativo en las cinco especificaciones probadas (corta y larga, ambos índices), y el índice global resulta significativo por sí mismo bajo efectos fijos de país.</w:t>
      </w:r>
    </w:p>
    <w:p>
      <w:pPr>
        <w:spacing w:after="160"/>
      </w:pPr>
      <w:r>
        <w:rPr>
          <w:b/>
          <w:bCs/>
        </w:rPr>
        <w:t xml:space="preserve">Panel extendido: no confirma el patrón de forma limpia. </w:t>
      </w:r>
      <w:r>
        <w:t xml:space="preserve">En la muestra completa (desbalanceada), θ mantiene el signo pero pierde significancia. En la ventana común 2010Q1-2014Q4, “solo LatAm-5” da un θ pequeño y no significativo, mientras que el panel de 11 países en la misma ventana da un θ </w:t>
      </w:r>
    </w:p>
    <w:p>
      <w:pPr>
        <w:spacing w:after="160"/>
      </w:pPr>
      <w:r>
        <w:t xml:space="preserve">positivo</w:t>
      </w:r>
      <w:r>
        <w:t xml:space="preserve"> y marginalmente significativo (p≈0.05) — signo contrario a la hipótesis. Se documentó explícitamente como síntoma de heterogeneidad no modelada (T muy corto para varios países, fuentes de EMBI mixtas, sin controles domésticos para los países nuevos) y no como una refutación del resultado LatAm.</w:t>
      </w:r>
    </w:p>
    <w:p>
      <w:pPr>
        <w:pStyle w:val="Heading1"/>
        <w:spacing w:after="150" w:before="300"/>
      </w:pPr>
      <w:r>
        <w:t xml:space="preserve">4. Limitaciones y datos pendientes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4000"/>
      </w:tblGrid>
      <w:tr>
        <w:trPr>
          <w:tblHeader/>
        </w:trPr>
        <w:tc>
          <w:tcPr>
            <w:tcW w:type="dxa" w:w="3200"/>
            <w:shd w:fill="1F3B73" w:val="clear"/>
          </w:tcPr>
          <w:p>
            <w:r>
              <w:rPr>
                <w:b/>
                <w:bCs/>
                <w:color w:val="FFFFFF"/>
              </w:rPr>
              <w:t xml:space="preserve">Ítem</w:t>
            </w:r>
          </w:p>
        </w:tc>
        <w:tc>
          <w:tcPr>
            <w:tcW w:type="dxa" w:w="2300"/>
            <w:shd w:fill="1F3B73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4000"/>
            <w:shd w:fill="1F3B73" w:val="clear"/>
          </w:tcPr>
          <w:p>
            <w:r>
              <w:rPr>
                <w:b/>
                <w:bCs/>
                <w:color w:val="FFFFFF"/>
              </w:rPr>
              <w:t xml:space="preserve">Qué falta</w:t>
            </w:r>
          </w:p>
        </w:tc>
      </w:tr>
      <w:tr>
        <w:tc>
          <w:tcPr>
            <w:tcW w:type="dxa" w:w="3200"/>
          </w:tcPr>
          <w:p>
            <w:r>
              <w:t xml:space="preserve">JLoss Hungría/India/Corea del Sur</w:t>
            </w:r>
          </w:p>
        </w:tc>
        <w:tc>
          <w:tcPr>
            <w:tcW w:type="dxa" w:w="2300"/>
          </w:tcPr>
          <w:p>
            <w:r>
              <w:t xml:space="preserve">Fuentes identificadas, sin extracción</w:t>
            </w:r>
          </w:p>
        </w:tc>
        <w:tc>
          <w:tcPr>
            <w:tcW w:type="dxa" w:w="4000"/>
          </w:tcPr>
          <w:p>
            <w:r>
              <w:t xml:space="preserve">Escribir y correr extract_hungary.py / extract_india.py / extract_southkorea.py en entorno con red abierta</w:t>
            </w:r>
          </w:p>
        </w:tc>
      </w:tr>
      <w:tr>
        <w:tc>
          <w:tcPr>
            <w:tcW w:type="dxa" w:w="3200"/>
          </w:tcPr>
          <w:p>
            <w:r>
              <w:t xml:space="preserve">JLoss 7 países (Turquía, Sudáfrica, Polonia, Bulgaria, Indonesia, Pakistán, China)</w:t>
            </w:r>
          </w:p>
        </w:tc>
        <w:tc>
          <w:tcPr>
            <w:tcW w:type="dxa" w:w="2300"/>
          </w:tcPr>
          <w:p>
            <w:r>
              <w:t xml:space="preserve">Código listo, sin correr</w:t>
            </w:r>
          </w:p>
        </w:tc>
        <w:tc>
          <w:tcPr>
            <w:tcW w:type="dxa" w:w="4000"/>
          </w:tcPr>
          <w:p>
            <w:r>
              <w:t xml:space="preserve">Ejecutar extractores en entorno con red abierta (RUNBOOK.md)</w:t>
            </w:r>
          </w:p>
        </w:tc>
      </w:tr>
      <w:tr>
        <w:tc>
          <w:tcPr>
            <w:tcW w:type="dxa" w:w="3200"/>
          </w:tcPr>
          <w:p>
            <w:r>
              <w:t xml:space="preserve">EMBI real 2015 en adelante (8 países extendidos)</w:t>
            </w:r>
          </w:p>
        </w:tc>
        <w:tc>
          <w:tcPr>
            <w:tcW w:type="dxa" w:w="2300"/>
          </w:tcPr>
          <w:p>
            <w:r>
              <w:t xml:space="preserve">Cubierto solo 2010-2014</w:t>
            </w:r>
          </w:p>
        </w:tc>
        <w:tc>
          <w:tcPr>
            <w:tcW w:type="dxa" w:w="4000"/>
          </w:tcPr>
          <w:p>
            <w:r>
              <w:t xml:space="preserve">Buscar ediciones GFSR 2016+ o acceso Bloomberg/Refinitiv/CEIC</w:t>
            </w:r>
          </w:p>
        </w:tc>
      </w:tr>
      <w:tr>
        <w:tc>
          <w:tcPr>
            <w:tcW w:type="dxa" w:w="3200"/>
          </w:tcPr>
          <w:p>
            <w:r>
              <w:t xml:space="preserve">Profit margin 2012 en adelante</w:t>
            </w:r>
          </w:p>
        </w:tc>
        <w:tc>
          <w:tcPr>
            <w:tcW w:type="dxa" w:w="2300"/>
          </w:tcPr>
          <w:p>
            <w:r>
              <w:t xml:space="preserve">Cubierto solo 1999-2011</w:t>
            </w:r>
          </w:p>
        </w:tc>
        <w:tc>
          <w:tcPr>
            <w:tcW w:type="dxa" w:w="4000"/>
          </w:tcPr>
          <w:p>
            <w:r>
              <w:t xml:space="preserve">Nueva extracción (net_income por banco) o proxy WDI/IMF FSI</w:t>
            </w:r>
          </w:p>
        </w:tc>
      </w:tr>
      <w:tr>
        <w:tc>
          <w:tcPr>
            <w:tcW w:type="dxa" w:w="3200"/>
          </w:tcPr>
          <w:p>
            <w:r>
              <w:t xml:space="preserve">Exchange-rate volatility</w:t>
            </w:r>
          </w:p>
        </w:tc>
        <w:tc>
          <w:tcPr>
            <w:tcW w:type="dxa" w:w="2300"/>
          </w:tcPr>
          <w:p>
            <w:r>
              <w:t xml:space="preserve">No construida</w:t>
            </w:r>
          </w:p>
        </w:tc>
        <w:tc>
          <w:tcPr>
            <w:tcW w:type="dxa" w:w="4000"/>
          </w:tcPr>
          <w:p>
            <w:r>
              <w:t xml:space="preserve">FX diario/mensual por país vs. USD (FRED/BIS/IMF IFS)</w:t>
            </w:r>
          </w:p>
        </w:tc>
      </w:tr>
      <w:tr>
        <w:tc>
          <w:tcPr>
            <w:tcW w:type="dxa" w:w="3200"/>
          </w:tcPr>
          <w:p>
            <w:r>
              <w:t xml:space="preserve">US High Yield spread (proxy)</w:t>
            </w:r>
          </w:p>
        </w:tc>
        <w:tc>
          <w:tcPr>
            <w:tcW w:type="dxa" w:w="2300"/>
          </w:tcPr>
          <w:p>
            <w:r>
              <w:t xml:space="preserve">Fetch incompleto (solo 2023Q3+)</w:t>
            </w:r>
          </w:p>
        </w:tc>
        <w:tc>
          <w:tcPr>
            <w:tcW w:type="dxa" w:w="4000"/>
          </w:tcPr>
          <w:p>
            <w:r>
              <w:t xml:space="preserve">Revisar la descarga de BAMLH0A0HYM2 en el entorno del usuario</w:t>
            </w:r>
          </w:p>
        </w:tc>
      </w:tr>
      <w:tr>
        <w:tc>
          <w:tcPr>
            <w:tcW w:type="dxa" w:w="3200"/>
          </w:tcPr>
          <w:p>
            <w:r>
              <w:t xml:space="preserve">Acceso a datos propietarios (EMBIG completo, CDS)</w:t>
            </w:r>
          </w:p>
        </w:tc>
        <w:tc>
          <w:tcPr>
            <w:tcW w:type="dxa" w:w="2300"/>
          </w:tcPr>
          <w:p>
            <w:r>
              <w:t xml:space="preserve">No disponible</w:t>
            </w:r>
          </w:p>
        </w:tc>
        <w:tc>
          <w:tcPr>
            <w:tcW w:type="dxa" w:w="4000"/>
          </w:tcPr>
          <w:p>
            <w:r>
              <w:t xml:space="preserve">Evaluar acceso institucional a Bloomberg/Refinitiv/CEIC/Datastream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50" w:before="300"/>
      </w:pPr>
      <w:r>
        <w:t xml:space="preserve">5. Plan propuesto para avanzar</w:t>
      </w:r>
    </w:p>
    <w:p>
      <w:pPr>
        <w:pStyle w:val="Heading2"/>
        <w:spacing w:after="120" w:before="240"/>
      </w:pPr>
      <w:r>
        <w:t xml:space="preserve">5.1 Corto plazo — cerrar el núcleo LatAm como resultado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Congelar la especificación LatAm (bases corta y larga) como resultado central del paper: es la que tiene datos completos, controles completos y resultado robusto.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Resolver la descarga de US High Yield spread (revisar por qué BAMLH0A0HYM2 llegó truncado) para completar los tres factores globales del paper de referencia.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Decidir el tratamiento de exchange-rate volatility y profit margin 2012+: o se completan con una fuente nueva, o se documentan como limitación y se usan solo en el subperiodo donde hay cobertura, como robustez acotada.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eso cerrado, avanzar a la redacción de la sección de resultados del paper usando Regresiones_panel_v2.Rmd como base (Tabla 1, efecto marginal, Tabla 2bis con índices agregados, diagnósticos).</w:t>
      </w:r>
    </w:p>
    <w:p>
      <w:pPr>
        <w:pStyle w:val="Heading2"/>
        <w:spacing w:after="120" w:before="240"/>
      </w:pPr>
      <w:r>
        <w:t xml:space="preserve">5.2 Mediano plazo — completar JLoss para los 7 países con extractor listo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Correr en un entorno con red abierta los extractores ya escritos y probados: Turquía, Sudáfrica (que ya tiene los XML de BA900 descargados, solo falta parsear), Polonia, Bulgaria, Indonesia, Pakistán, China.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JLoss real para esos 7 países y el EMBI real GFSR 2010-2014, el panel extendido pasaría de evidencia exploratoria a una segunda muestra con datos completos en esa ventana — permitiría una prueba de generalización mucho más limpia que la actual.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Buscar ediciones más recientes del Global Financial Stability Report (2016 en adelante) para estirar el EMBI real de esos países más allá de 2014 y ganar T por país.</w:t>
      </w:r>
    </w:p>
    <w:p>
      <w:pPr>
        <w:pStyle w:val="Heading2"/>
        <w:spacing w:after="120" w:before="240"/>
      </w:pPr>
      <w:r>
        <w:t xml:space="preserve">5.3 Largo plazo — decisión de alcance y datos faltantes de Hungría, India, Corea del Sur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si la tesis se cierra en el núcleo LatAm robusto (5 países) con el panel extendido como robustez/extensión exploratoria — la opción de menor riesgo y más rápida de terminar —, o si se invierte el trabajo para llevar los 15 países a plena madurez de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se opta por los 15 países completos: iniciar la extracción de JLoss para Hungría, India y Corea del Sur con las fuentes ya identificadas (MNB, RBI, FSS), gestionar acceso institucional a Bloomberg/Refinitiv/CEIC para EMBI/CDS más allá de 2014, y construir exchange-rate volatility y profit margin actualizado para todos los países.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cualquiera de los dos escenarios, mantener la tabla de síntesis de θ (Sección 5 de Regresiones_panel_v2.Rmd) como el chequeo de honestidad: cualquier resultado nuevo debe triangularse contra el núcleo LatAm antes de generalizarse.</w:t>
      </w:r>
    </w:p>
    <w:p>
      <w:pPr>
        <w:pStyle w:val="Heading1"/>
        <w:spacing w:after="150" w:before="300"/>
      </w:pPr>
      <w:r>
        <w:t xml:space="preserve">6. Archivos entregables (en ./Panel)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F3B73" w:val="clear"/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5900"/>
            <w:shd w:fill="1F3B73" w:val="clear"/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3600"/>
          </w:tcPr>
          <w:p>
            <w:r>
              <w:t xml:space="preserve">Panel_final_prebackup.csv</w:t>
            </w:r>
          </w:p>
        </w:tc>
        <w:tc>
          <w:tcPr>
            <w:tcW w:type="dxa" w:w="5900"/>
          </w:tcPr>
          <w:p>
            <w:r>
              <w:t xml:space="preserve">Núcleo LatAm corta (2010Q1-2022Q2, 5 países)</w:t>
            </w:r>
          </w:p>
        </w:tc>
      </w:tr>
      <w:tr>
        <w:tc>
          <w:tcPr>
            <w:tcW w:type="dxa" w:w="3600"/>
          </w:tcPr>
          <w:p>
            <w:r>
              <w:t xml:space="preserve">Panel_final.csv</w:t>
            </w:r>
          </w:p>
        </w:tc>
        <w:tc>
          <w:tcPr>
            <w:tcW w:type="dxa" w:w="5900"/>
          </w:tcPr>
          <w:p>
            <w:r>
              <w:t xml:space="preserve">Núcleo LatAm larga (2007Q4-2022Q2, 5 países)</w:t>
            </w:r>
          </w:p>
        </w:tc>
      </w:tr>
      <w:tr>
        <w:tc>
          <w:tcPr>
            <w:tcW w:type="dxa" w:w="3600"/>
          </w:tcPr>
          <w:p>
            <w:r>
              <w:t xml:space="preserve">Panel_extended_15paises.csv</w:t>
            </w:r>
          </w:p>
        </w:tc>
        <w:tc>
          <w:tcPr>
            <w:tcW w:type="dxa" w:w="5900"/>
          </w:tcPr>
          <w:p>
            <w:r>
              <w:t xml:space="preserve">Panel extendido (11 países con intersección real)</w:t>
            </w:r>
          </w:p>
        </w:tc>
      </w:tr>
      <w:tr>
        <w:tc>
          <w:tcPr>
            <w:tcW w:type="dxa" w:w="3600"/>
          </w:tcPr>
          <w:p>
            <w:r>
              <w:t xml:space="preserve">EMBI_real_8countries_2006_2014.csv</w:t>
            </w:r>
          </w:p>
        </w:tc>
        <w:tc>
          <w:tcPr>
            <w:tcW w:type="dxa" w:w="5900"/>
          </w:tcPr>
          <w:p>
            <w:r>
              <w:t xml:space="preserve">EMBI Global real (GFSR-FMI) para los 8 países no-LatAm</w:t>
            </w:r>
          </w:p>
        </w:tc>
      </w:tr>
      <w:tr>
        <w:tc>
          <w:tcPr>
            <w:tcW w:type="dxa" w:w="3600"/>
          </w:tcPr>
          <w:p>
            <w:r>
              <w:t xml:space="preserve">global_controls_quarterly.csv</w:t>
            </w:r>
          </w:p>
        </w:tc>
        <w:tc>
          <w:tcPr>
            <w:tcW w:type="dxa" w:w="5900"/>
          </w:tcPr>
          <w:p>
            <w:r>
              <w:t xml:space="preserve">UST10Y, US HY spread (parcial), on/off-the-run — trimestral</w:t>
            </w:r>
          </w:p>
        </w:tc>
      </w:tr>
      <w:tr>
        <w:tc>
          <w:tcPr>
            <w:tcW w:type="dxa" w:w="3600"/>
          </w:tcPr>
          <w:p>
            <w:r>
              <w:t xml:space="preserve">profit_margin_1999_2011.csv</w:t>
            </w:r>
          </w:p>
        </w:tc>
        <w:tc>
          <w:tcPr>
            <w:tcW w:type="dxa" w:w="5900"/>
          </w:tcPr>
          <w:p>
            <w:r>
              <w:t xml:space="preserve">Profit margin reconstruido desde el pipeline MATLAB legado</w:t>
            </w:r>
          </w:p>
        </w:tc>
      </w:tr>
      <w:tr>
        <w:tc>
          <w:tcPr>
            <w:tcW w:type="dxa" w:w="3600"/>
          </w:tcPr>
          <w:p>
            <w:r>
              <w:t xml:space="preserve">fetch_global_controls.py / add_paper_controls.py</w:t>
            </w:r>
          </w:p>
        </w:tc>
        <w:tc>
          <w:tcPr>
            <w:tcW w:type="dxa" w:w="5900"/>
          </w:tcPr>
          <w:p>
            <w:r>
              <w:t xml:space="preserve">Scripts portables para los factores globales del paper JLoss</w:t>
            </w:r>
          </w:p>
        </w:tc>
      </w:tr>
      <w:tr>
        <w:tc>
          <w:tcPr>
            <w:tcW w:type="dxa" w:w="3600"/>
          </w:tcPr>
          <w:p>
            <w:r>
              <w:t xml:space="preserve">rebuild_profit_margin.py</w:t>
            </w:r>
          </w:p>
        </w:tc>
        <w:tc>
          <w:tcPr>
            <w:tcW w:type="dxa" w:w="5900"/>
          </w:tcPr>
          <w:p>
            <w:r>
              <w:t xml:space="preserve">Script de reconstrucción de profit margin desde archivos crudos</w:t>
            </w:r>
          </w:p>
        </w:tc>
      </w:tr>
      <w:tr>
        <w:tc>
          <w:tcPr>
            <w:tcW w:type="dxa" w:w="3600"/>
          </w:tcPr>
          <w:p>
            <w:r>
              <w:t xml:space="preserve">consolidate_panel_v2.py / build_panel_v2.py</w:t>
            </w:r>
          </w:p>
        </w:tc>
        <w:tc>
          <w:tcPr>
            <w:tcW w:type="dxa" w:w="5900"/>
          </w:tcPr>
          <w:p>
            <w:r>
              <w:t xml:space="preserve">Scripts de consolidación de los paneles</w:t>
            </w:r>
          </w:p>
        </w:tc>
      </w:tr>
      <w:tr>
        <w:tc>
          <w:tcPr>
            <w:tcW w:type="dxa" w:w="3600"/>
          </w:tcPr>
          <w:p>
            <w:r>
              <w:t xml:space="preserve">Regresiones_panel_v2.Rmd</w:t>
            </w:r>
          </w:p>
        </w:tc>
        <w:tc>
          <w:tcPr>
            <w:tcW w:type="dxa" w:w="5900"/>
          </w:tcPr>
          <w:p>
            <w:r>
              <w:t xml:space="preserve">Estimación completa de las tres bases, con índices agregados y síntesis</w:t>
            </w:r>
          </w:p>
        </w:tc>
      </w:tr>
      <w:tr>
        <w:tc>
          <w:tcPr>
            <w:tcW w:type="dxa" w:w="3600"/>
          </w:tcPr>
          <w:p>
            <w:r>
              <w:t xml:space="preserve">JLoss_update_plan.md (sección M)</w:t>
            </w:r>
          </w:p>
        </w:tc>
        <w:tc>
          <w:tcPr>
            <w:tcW w:type="dxa" w:w="5900"/>
          </w:tcPr>
          <w:p>
            <w:r>
              <w:t xml:space="preserve">Mapa de fuentes para Hungría, India y Corea del Sur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2026-07-17T21:55:24.241Z</dcterms:created>
  <dcterms:modified xsi:type="dcterms:W3CDTF">2026-07-17T21:55:24.284Z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