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RELWO</w:t>
      </w:r>
    </w:p>
    <w:p>
      <w:pPr>
        <w:pStyle w:val="BodyText"/>
      </w:pPr>
      <w:r>
        <w:t xml:space="preserve">Plataforma de servicios a domicilio con pago en custodia</w:t>
      </w:r>
    </w:p>
    <w:p>
      <w:pPr>
        <w:pStyle w:val="BodyText"/>
      </w:pPr>
      <w:r>
        <w:rPr>
          <w:b/>
          <w:bCs/>
        </w:rPr>
        <w:t xml:space="preserve">Especificación de Requerimientos de Software (ERS)</w:t>
      </w:r>
    </w:p>
    <w:p>
      <w:pPr>
        <w:pStyle w:val="BodyText"/>
      </w:pPr>
      <w:r>
        <w:t xml:space="preserve">Alcance del MVP, actores, flujo central, requerimientos funcionales y no funcionales, reglas de negocio y criterios de aceptación</w:t>
      </w:r>
    </w:p>
    <w:p>
      <w:pPr>
        <w:pStyle w:val="BodyText"/>
      </w:pPr>
      <w:r>
        <w:rPr>
          <w:b/>
          <w:bCs/>
        </w:rPr>
        <w:t xml:space="preserve">Asignatura:</w:t>
      </w:r>
      <w:r>
        <w:t xml:space="preserve"> </w:t>
      </w:r>
      <w:r>
        <w:t xml:space="preserve">Portafolio de Título (Capstone) — PTY4614</w:t>
      </w:r>
    </w:p>
    <w:p>
      <w:pPr>
        <w:pStyle w:val="BodyText"/>
      </w:pPr>
      <w:r>
        <w:rPr>
          <w:b/>
          <w:bCs/>
        </w:rPr>
        <w:t xml:space="preserve">Carrera:</w:t>
      </w:r>
      <w:r>
        <w:t xml:space="preserve"> </w:t>
      </w:r>
      <w:r>
        <w:t xml:space="preserve">Ingeniería en Informática — Duoc UC, Sede Plaza Norte</w:t>
      </w:r>
    </w:p>
    <w:p>
      <w:pPr>
        <w:pStyle w:val="BodyText"/>
      </w:pPr>
      <w:r>
        <w:rPr>
          <w:b/>
          <w:bCs/>
        </w:rPr>
        <w:t xml:space="preserve">Equipo:</w:t>
      </w:r>
      <w:r>
        <w:t xml:space="preserve"> </w:t>
      </w:r>
      <w:r>
        <w:t xml:space="preserve">Mauricio Poblete · Tania Sáez · Nayareth Suárez</w:t>
      </w:r>
    </w:p>
    <w:p>
      <w:pPr>
        <w:pStyle w:val="BodyText"/>
      </w:pPr>
      <w:r>
        <w:rPr>
          <w:b/>
          <w:bCs/>
        </w:rPr>
        <w:t xml:space="preserve">Fase:</w:t>
      </w:r>
      <w:r>
        <w:t xml:space="preserve"> </w:t>
      </w:r>
      <w:r>
        <w:t xml:space="preserve">Fase 2 — Desarrollo y ejecución</w:t>
      </w:r>
    </w:p>
    <w:p>
      <w:pPr>
        <w:pStyle w:val="BodyText"/>
      </w:pPr>
      <w:r>
        <w:rPr>
          <w:b/>
          <w:bCs/>
        </w:rPr>
        <w:t xml:space="preserve">Fecha:</w:t>
      </w:r>
      <w:r>
        <w:t xml:space="preserve"> </w:t>
      </w:r>
      <w:r>
        <w:t xml:space="preserve">19 de octubre de 2026</w:t>
      </w:r>
    </w:p>
    <w:p>
      <w:pPr>
        <w:pStyle w:val="BodyText"/>
      </w:pPr>
      <w:r>
        <w:rPr>
          <w:b/>
          <w:bCs/>
        </w:rPr>
        <w:t xml:space="preserve">Estado:</w:t>
      </w:r>
      <w:r>
        <w:t xml:space="preserve"> </w:t>
      </w:r>
      <w:r>
        <w:t xml:space="preserve">Al cierre del Sprint 7; Sprint 8 en curso</w:t>
      </w:r>
    </w:p>
    <w:p>
      <w:r>
        <w:br w:type="page"/>
      </w:r>
    </w:p>
    <w:bookmarkStart w:id="19" w:name="contenido"/>
    <w:p>
      <w:pPr>
        <w:pStyle w:val="Heading1"/>
      </w:pPr>
      <w:r>
        <w:t xml:space="preserve">Contenido</w:t>
      </w:r>
    </w:p>
    <w:p>
      <w:pPr>
        <w:pStyle w:val="Compact"/>
        <w:numPr>
          <w:ilvl w:val="0"/>
          <w:numId w:val="1001"/>
        </w:numPr>
      </w:pPr>
      <w:r>
        <w:t xml:space="preserve">Propósito y alcance</w:t>
      </w:r>
    </w:p>
    <w:p>
      <w:pPr>
        <w:pStyle w:val="Compact"/>
        <w:numPr>
          <w:ilvl w:val="0"/>
          <w:numId w:val="1001"/>
        </w:numPr>
      </w:pPr>
      <w:r>
        <w:t xml:space="preserve">Actores</w:t>
      </w:r>
    </w:p>
    <w:p>
      <w:pPr>
        <w:pStyle w:val="Compact"/>
        <w:numPr>
          <w:ilvl w:val="0"/>
          <w:numId w:val="1001"/>
        </w:numPr>
      </w:pPr>
      <w:r>
        <w:t xml:space="preserve">Flujo central del servicio</w:t>
      </w:r>
    </w:p>
    <w:p>
      <w:pPr>
        <w:pStyle w:val="Compact"/>
        <w:numPr>
          <w:ilvl w:val="0"/>
          <w:numId w:val="1001"/>
        </w:numPr>
      </w:pPr>
      <w:r>
        <w:t xml:space="preserve">Requerimientos funcionales por módulo</w:t>
      </w:r>
    </w:p>
    <w:p>
      <w:pPr>
        <w:pStyle w:val="Compact"/>
        <w:numPr>
          <w:ilvl w:val="0"/>
          <w:numId w:val="1001"/>
        </w:numPr>
      </w:pPr>
      <w:r>
        <w:t xml:space="preserve">Reglas de negocio</w:t>
      </w:r>
    </w:p>
    <w:p>
      <w:pPr>
        <w:pStyle w:val="Compact"/>
        <w:numPr>
          <w:ilvl w:val="0"/>
          <w:numId w:val="1001"/>
        </w:numPr>
      </w:pPr>
      <w:r>
        <w:t xml:space="preserve">Requerimientos no funcionales</w:t>
      </w:r>
    </w:p>
    <w:p>
      <w:pPr>
        <w:pStyle w:val="Compact"/>
        <w:numPr>
          <w:ilvl w:val="0"/>
          <w:numId w:val="1001"/>
        </w:numPr>
      </w:pPr>
      <w:r>
        <w:t xml:space="preserve">Estados del servicio</w:t>
      </w:r>
    </w:p>
    <w:p>
      <w:pPr>
        <w:pStyle w:val="Compact"/>
        <w:numPr>
          <w:ilvl w:val="0"/>
          <w:numId w:val="1001"/>
        </w:numPr>
      </w:pPr>
      <w:r>
        <w:t xml:space="preserve">Criterios de aceptación del MVP</w:t>
      </w:r>
    </w:p>
    <w:p>
      <w:pPr>
        <w:pStyle w:val="Compact"/>
        <w:numPr>
          <w:ilvl w:val="0"/>
          <w:numId w:val="1001"/>
        </w:numPr>
      </w:pPr>
      <w:r>
        <w:t xml:space="preserve">Fuera del alcance del MVP</w:t>
      </w:r>
    </w:p>
    <w:p>
      <w:pPr>
        <w:pStyle w:val="Compact"/>
        <w:numPr>
          <w:ilvl w:val="0"/>
          <w:numId w:val="1001"/>
        </w:numPr>
      </w:pPr>
      <w:r>
        <w:t xml:space="preserve">Supuestos y dependencias</w:t>
      </w:r>
    </w:p>
    <w:p>
      <w:pPr>
        <w:pStyle w:val="Compact"/>
        <w:numPr>
          <w:ilvl w:val="0"/>
          <w:numId w:val="1001"/>
        </w:numPr>
      </w:pPr>
      <w:r>
        <w:t xml:space="preserve">Glosario</w:t>
      </w:r>
    </w:p>
    <w:p>
      <w:pPr>
        <w:pStyle w:val="Compact"/>
        <w:numPr>
          <w:ilvl w:val="0"/>
          <w:numId w:val="1001"/>
        </w:numPr>
      </w:pPr>
      <w:r>
        <w:t xml:space="preserve">Evolución del documento</w:t>
      </w:r>
    </w:p>
    <w:p>
      <w:r>
        <w:br w:type="page"/>
      </w:r>
    </w:p>
    <w:bookmarkEnd w:id="19"/>
    <w:bookmarkStart w:id="20" w:name="propósito-y-alcance"/>
    <w:p>
      <w:pPr>
        <w:pStyle w:val="Heading1"/>
      </w:pPr>
      <w:r>
        <w:t xml:space="preserve">1. Propósito y alcance</w:t>
      </w:r>
    </w:p>
    <w:p>
      <w:pPr>
        <w:pStyle w:val="FirstParagraph"/>
      </w:pPr>
      <w:r>
        <w:t xml:space="preserve">Este documento describe qué debe hacer la plataforma RELWO en su primera versión (MVP), para quién y bajo qué reglas. Es la referencia que usamos para construir, probar y demostrar el producto, y la que permite al docente guía y al cliente verificar que lo entregado corresponde a lo acordado. Está escrito desde el punto de vista de las personas que usan el sistema; cómo está construido por dentro se explica en el documento de arquitectura.</w:t>
      </w:r>
    </w:p>
    <w:p>
      <w:pPr>
        <w:pStyle w:val="BodyText"/>
      </w:pPr>
      <w:r>
        <w:t xml:space="preserve">RELWO conecta a hogares con maestros de oficio verificados y protege el dinero de ambas partes mediante un pago en custodia. El producto se compone de una aplicación móvil para Android e iOS, que usan clientes y maestros con la misma instalación, y de un panel web de operaciones que el equipo llama</w:t>
      </w:r>
      <w:r>
        <w:t xml:space="preserve"> </w:t>
      </w:r>
      <w:r>
        <w:t xml:space="preserve">“torre de control”</w:t>
      </w:r>
      <w:r>
        <w:t xml:space="preserve">. Las tecnologías elegidas son Flutter para la app, Angular para el panel, NestJS para el servidor, PostgreSQL con PostGIS para la base de datos y Google Cloud como nube; en adelante se habla de la app, el panel y el servidor.</w:t>
      </w:r>
    </w:p>
    <w:p>
      <w:pPr>
        <w:pStyle w:val="BodyText"/>
      </w:pPr>
      <w:r>
        <w:t xml:space="preserve">El modelo de servicio es una</w:t>
      </w:r>
      <w:r>
        <w:t xml:space="preserve"> </w:t>
      </w:r>
      <w:r>
        <w:rPr>
          <w:b/>
          <w:bCs/>
        </w:rPr>
        <w:t xml:space="preserve">solicitud publicada con multioferta</w:t>
      </w:r>
      <w:r>
        <w:t xml:space="preserve">. El cliente describe lo que necesita sin ver un precio previo; el servidor publica la solicitud y avisa a todos los maestros cuyo perfil declarado calza con el oficio, la comuna y el horario; cada maestro interesado oferta dos cifras, el valor estimado del trabajo y su tarifa de visita; el cliente elige entre las ofertas recibidas y la elección agenda el servicio sin cobrar nada. El día del servicio el maestro diagnostica en el domicilio y cotiza el monto definitivo; si el cliente lo acepta, se cobra una sola vez y el dinero queda en custodia hasta un cierre válido, validado con fotografías de término y un código de tres dígitos.</w:t>
      </w:r>
    </w:p>
    <w:p>
      <w:pPr>
        <w:pStyle w:val="BodyText"/>
      </w:pPr>
      <w:r>
        <w:rPr>
          <w:b/>
          <w:bCs/>
        </w:rPr>
        <w:t xml:space="preserve">Cobertura.</w:t>
      </w:r>
      <w:r>
        <w:t xml:space="preserve"> </w:t>
      </w:r>
      <w:r>
        <w:t xml:space="preserve">El piloto opera sobre el Gran Santiago. La app muestra 40 comunas visibles y cuatro comunas operativas iniciales: Las Condes, Ñuñoa, Vitacura y Santiago. Las 36 restantes quedan visibles para registrar demanda y se activan de forma automática cuando reúnen tres maestros con Sello RELWO y disponibilidad declarada, umbral que la torre de control puede ajustar por oficio.</w:t>
      </w:r>
    </w:p>
    <w:p>
      <w:pPr>
        <w:pStyle w:val="BodyText"/>
      </w:pPr>
      <w:r>
        <w:rPr>
          <w:b/>
          <w:bCs/>
        </w:rPr>
        <w:t xml:space="preserve">Oficios.</w:t>
      </w:r>
      <w:r>
        <w:t xml:space="preserve"> </w:t>
      </w:r>
      <w:r>
        <w:t xml:space="preserve">El MVP construye tres oficios contratables: limpieza de hogares (una vez, quincenal o semanal), gasfitería y cerrajería, estos dos últimos con una modalidad de atención de emergencia. Cada oficio puede encenderse o apagarse desde el panel sin publicar una versión nueva de la app. El catálogo muestra además servicios marcados</w:t>
      </w:r>
      <w:r>
        <w:t xml:space="preserve"> </w:t>
      </w:r>
      <w:r>
        <w:t xml:space="preserve">“Próximamente”</w:t>
      </w:r>
      <w:r>
        <w:t xml:space="preserve"> </w:t>
      </w:r>
      <w:r>
        <w:t xml:space="preserve">(electricidad, jardinería, cuidado infantil y clases particulares, entre otros) que no se pueden contratar pero sí registran interés por servicio y comuna.</w:t>
      </w:r>
    </w:p>
    <w:p>
      <w:pPr>
        <w:pStyle w:val="BodyText"/>
      </w:pPr>
      <w:r>
        <w:rPr>
          <w:b/>
          <w:bCs/>
        </w:rPr>
        <w:t xml:space="preserve">Qué incluye y qué no.</w:t>
      </w:r>
      <w:r>
        <w:t xml:space="preserve"> </w:t>
      </w:r>
      <w:r>
        <w:t xml:space="preserve">El MVP cubre el recorrido completo de un servicio, desde el registro hasta la evaluación, más la verificación de maestros, los reclamos y la torre de control (sección 4). Lo que quedó fuera se enumera en la sección 9.</w:t>
      </w:r>
    </w:p>
    <w:bookmarkEnd w:id="20"/>
    <w:bookmarkStart w:id="23" w:name="actores"/>
    <w:p>
      <w:pPr>
        <w:pStyle w:val="Heading1"/>
      </w:pPr>
      <w:r>
        <w:t xml:space="preserve">2. Actores</w:t>
      </w:r>
    </w:p>
    <w:bookmarkStart w:id="21" w:name="usuarios-de-la-plataforma"/>
    <w:p>
      <w:pPr>
        <w:pStyle w:val="Heading3"/>
      </w:pPr>
      <w:r>
        <w:t xml:space="preserve">Usuarios de la plataforma</w:t>
      </w:r>
    </w:p>
    <w:p>
      <w:pPr>
        <w:pStyle w:val="FirstParagraph"/>
      </w:pPr>
      <w:r>
        <w:rPr>
          <w:b/>
          <w:bCs/>
        </w:rPr>
        <w:t xml:space="preserve">Cliente.</w:t>
      </w:r>
      <w:r>
        <w:t xml:space="preserve"> </w:t>
      </w:r>
      <w:r>
        <w:t xml:space="preserve">Es la persona que necesita un servicio para su hogar y usa la app con el rol cliente. Crea su cuenta y sus hogares, describe la solicitud, elige una oferta, aprueba la cotización en terreno, paga en la app y sigue el servicio. Al final muestra el código de cierre, evalúa y, si corresponde, reclama.</w:t>
      </w:r>
    </w:p>
    <w:p>
      <w:pPr>
        <w:pStyle w:val="BodyText"/>
      </w:pPr>
      <w:r>
        <w:rPr>
          <w:b/>
          <w:bCs/>
        </w:rPr>
        <w:t xml:space="preserve">Maestro.</w:t>
      </w:r>
      <w:r>
        <w:t xml:space="preserve"> </w:t>
      </w:r>
      <w:r>
        <w:t xml:space="preserve">Es el prestador de oficio (limpieza, gasfitería o cerrajería) verificado por la plataforma, que usa la misma app en modo prestador. Completa su perfil y documentos, declara comunas y horarios y oferta con dos cifras. El día del servicio declara</w:t>
      </w:r>
      <w:r>
        <w:t xml:space="preserve"> </w:t>
      </w:r>
      <w:r>
        <w:t xml:space="preserve">“voy en camino”</w:t>
      </w:r>
      <w:r>
        <w:t xml:space="preserve"> </w:t>
      </w:r>
      <w:r>
        <w:t xml:space="preserve">y su llegada, cotiza en terreno con fotografía, ejecuta el trabajo y declara gastos imprevistos. Para terminar, sube evidencias de término e ingresa el código de cierre.</w:t>
      </w:r>
    </w:p>
    <w:p>
      <w:pPr>
        <w:pStyle w:val="BodyText"/>
      </w:pPr>
      <w:r>
        <w:rPr>
          <w:b/>
          <w:bCs/>
        </w:rPr>
        <w:t xml:space="preserve">Administrador de la torre de control.</w:t>
      </w:r>
      <w:r>
        <w:t xml:space="preserve"> </w:t>
      </w:r>
      <w:r>
        <w:t xml:space="preserve">Es un integrante del equipo de operaciones del cliente que usa el panel web. Aprueba o rechaza registros; verifica identidad, antecedentes y referencias; resuelve disputas, y retiene o libera pagos de forma manual. También configura comisiones, recargos, plazos, comunas y oficios, y consulta auditoría, métricas y salud técnica.</w:t>
      </w:r>
    </w:p>
    <w:bookmarkEnd w:id="21"/>
    <w:bookmarkStart w:id="22" w:name="servicios-externos"/>
    <w:p>
      <w:pPr>
        <w:pStyle w:val="Heading3"/>
      </w:pPr>
      <w:r>
        <w:t xml:space="preserve">Servicios externos</w:t>
      </w:r>
    </w:p>
    <w:p>
      <w:pPr>
        <w:pStyle w:val="FirstParagraph"/>
      </w:pPr>
      <w:r>
        <w:rPr>
          <w:b/>
          <w:bCs/>
        </w:rPr>
        <w:t xml:space="preserve">Pasarela de pago.</w:t>
      </w:r>
      <w:r>
        <w:t xml:space="preserve"> </w:t>
      </w:r>
      <w:r>
        <w:t xml:space="preserve">Es el procesador de pagos externo y regulado que custodia los fondos. Registra la tarjeta como referencia, retiene el cobro único, captura o devuelve fondos, ejecuta los cargos directos y entrega el reporte diario para la conciliación. Durante el proyecto opera en modo de pruebas.</w:t>
      </w:r>
    </w:p>
    <w:p>
      <w:pPr>
        <w:pStyle w:val="BodyText"/>
      </w:pPr>
      <w:r>
        <w:rPr>
          <w:b/>
          <w:bCs/>
        </w:rPr>
        <w:t xml:space="preserve">Servicio de mapas.</w:t>
      </w:r>
      <w:r>
        <w:t xml:space="preserve"> </w:t>
      </w:r>
      <w:r>
        <w:t xml:space="preserve">Es el proveedor externo de geocodificación y cartografía. Convierte la dirección en coordenadas, permite validar el pin del hogar, determina la comuna por polígono y sirve el mapa del día del servicio.</w:t>
      </w:r>
    </w:p>
    <w:p>
      <w:pPr>
        <w:pStyle w:val="BodyText"/>
      </w:pPr>
      <w:r>
        <w:rPr>
          <w:b/>
          <w:bCs/>
        </w:rPr>
        <w:t xml:space="preserve">Servicio de mensajería.</w:t>
      </w:r>
      <w:r>
        <w:t xml:space="preserve"> </w:t>
      </w:r>
      <w:r>
        <w:t xml:space="preserve">Es el proveedor externo de notificaciones push, correo y mensajes de texto. Entrega recordatorios, cambios de estado, códigos de verificación y recuperación, y las alertas de nuevo trabajo.</w:t>
      </w:r>
    </w:p>
    <w:p>
      <w:pPr>
        <w:pStyle w:val="BodyText"/>
      </w:pPr>
      <w:r>
        <w:rPr>
          <w:b/>
          <w:bCs/>
        </w:rPr>
        <w:t xml:space="preserve">Verificación de identidad.</w:t>
      </w:r>
      <w:r>
        <w:t xml:space="preserve"> </w:t>
      </w:r>
      <w:r>
        <w:t xml:space="preserve">Es el proveedor externo que compara la cédula con el rostro de la persona. Devuelve un resultado (verificada, ilegible o rechazada) que el sistema registra con fecha y fuente. Mientras no esté contratado, la verificación se resuelve de forma manual desde el panel.</w:t>
      </w:r>
    </w:p>
    <w:p>
      <w:pPr>
        <w:pStyle w:val="BodyText"/>
      </w:pPr>
      <w:r>
        <w:rPr>
          <w:b/>
          <w:bCs/>
        </w:rPr>
        <w:t xml:space="preserve">Registro público de licencias (SEC).</w:t>
      </w:r>
      <w:r>
        <w:t xml:space="preserve"> </w:t>
      </w:r>
      <w:r>
        <w:t xml:space="preserve">Es el registro de instaladores autorizados de la Superintendencia de Electricidad y Combustibles. El servidor consulta por RUT la licencia habilitante del maestro cuando el oficio lo exige, la vuelve a verificar cada 30 días y deriva a revisión manual cuando la lectura no se reconoce.</w:t>
      </w:r>
    </w:p>
    <w:bookmarkEnd w:id="22"/>
    <w:bookmarkEnd w:id="23"/>
    <w:bookmarkStart w:id="24" w:name="flujo-central-del-servicio"/>
    <w:p>
      <w:pPr>
        <w:pStyle w:val="Heading1"/>
      </w:pPr>
      <w:r>
        <w:t xml:space="preserve">3. Flujo central del servicio</w:t>
      </w:r>
    </w:p>
    <w:p>
      <w:pPr>
        <w:pStyle w:val="FirstParagraph"/>
      </w:pPr>
      <w:r>
        <w:t xml:space="preserve">El flujo central es la columna vertebral del producto y el recorrido que se demuestra al cliente en cada hito; tiene catorce pasos.</w:t>
      </w:r>
    </w:p>
    <w:p>
      <w:pPr>
        <w:pStyle w:val="Compact"/>
        <w:numPr>
          <w:ilvl w:val="0"/>
          <w:numId w:val="1002"/>
        </w:numPr>
      </w:pPr>
      <w:r>
        <w:t xml:space="preserve">Cliente: abre la app con sesión iniciada y un hogar activo.</w:t>
      </w:r>
    </w:p>
    <w:p>
      <w:pPr>
        <w:pStyle w:val="Compact"/>
        <w:numPr>
          <w:ilvl w:val="0"/>
          <w:numId w:val="1002"/>
        </w:numPr>
      </w:pPr>
      <w:r>
        <w:t xml:space="preserve">Cliente: crea la solicitud.</w:t>
      </w:r>
    </w:p>
    <w:p>
      <w:pPr>
        <w:pStyle w:val="Compact"/>
        <w:numPr>
          <w:ilvl w:val="0"/>
          <w:numId w:val="1002"/>
        </w:numPr>
      </w:pPr>
      <w:r>
        <w:t xml:space="preserve">Sistema: publica la solicitud y avisa a los maestros que calzan.</w:t>
      </w:r>
    </w:p>
    <w:p>
      <w:pPr>
        <w:pStyle w:val="Compact"/>
        <w:numPr>
          <w:ilvl w:val="0"/>
          <w:numId w:val="1002"/>
        </w:numPr>
      </w:pPr>
      <w:r>
        <w:t xml:space="preserve">Maestro: oferta dos cifras, valor estimado y tarifa de visita.</w:t>
      </w:r>
    </w:p>
    <w:p>
      <w:pPr>
        <w:pStyle w:val="Compact"/>
        <w:numPr>
          <w:ilvl w:val="0"/>
          <w:numId w:val="1002"/>
        </w:numPr>
      </w:pPr>
      <w:r>
        <w:t xml:space="preserve">Cliente: compara las ofertas y elige una, sin cobro.</w:t>
      </w:r>
    </w:p>
    <w:p>
      <w:pPr>
        <w:pStyle w:val="Compact"/>
        <w:numPr>
          <w:ilvl w:val="0"/>
          <w:numId w:val="1002"/>
        </w:numPr>
      </w:pPr>
      <w:r>
        <w:t xml:space="preserve">Maestro: declara</w:t>
      </w:r>
      <w:r>
        <w:t xml:space="preserve"> </w:t>
      </w:r>
      <w:r>
        <w:t xml:space="preserve">“voy en camino”</w:t>
      </w:r>
      <w:r>
        <w:t xml:space="preserve">.</w:t>
      </w:r>
    </w:p>
    <w:p>
      <w:pPr>
        <w:pStyle w:val="Compact"/>
        <w:numPr>
          <w:ilvl w:val="0"/>
          <w:numId w:val="1002"/>
        </w:numPr>
      </w:pPr>
      <w:r>
        <w:t xml:space="preserve">Maestro: pulsa</w:t>
      </w:r>
      <w:r>
        <w:t xml:space="preserve"> </w:t>
      </w:r>
      <w:r>
        <w:t xml:space="preserve">“Llegué”</w:t>
      </w:r>
      <w:r>
        <w:t xml:space="preserve">.</w:t>
      </w:r>
    </w:p>
    <w:p>
      <w:pPr>
        <w:pStyle w:val="Compact"/>
        <w:numPr>
          <w:ilvl w:val="0"/>
          <w:numId w:val="1002"/>
        </w:numPr>
      </w:pPr>
      <w:r>
        <w:t xml:space="preserve">Maestro: fotografía el problema y envía la cotización definitiva.</w:t>
      </w:r>
    </w:p>
    <w:p>
      <w:pPr>
        <w:pStyle w:val="Compact"/>
        <w:numPr>
          <w:ilvl w:val="0"/>
          <w:numId w:val="1002"/>
        </w:numPr>
      </w:pPr>
      <w:r>
        <w:t xml:space="preserve">Cliente: acepta y paga una sola vez, o rechaza.</w:t>
      </w:r>
    </w:p>
    <w:p>
      <w:pPr>
        <w:pStyle w:val="Compact"/>
        <w:numPr>
          <w:ilvl w:val="0"/>
          <w:numId w:val="1002"/>
        </w:numPr>
      </w:pPr>
      <w:r>
        <w:t xml:space="preserve">Maestro y cliente: gasto imprevisto con comprobante, si aparece.</w:t>
      </w:r>
    </w:p>
    <w:p>
      <w:pPr>
        <w:pStyle w:val="Compact"/>
        <w:numPr>
          <w:ilvl w:val="0"/>
          <w:numId w:val="1002"/>
        </w:numPr>
      </w:pPr>
      <w:r>
        <w:t xml:space="preserve">Maestro: sube las fotografías de término y pulsa</w:t>
      </w:r>
      <w:r>
        <w:t xml:space="preserve"> </w:t>
      </w:r>
      <w:r>
        <w:t xml:space="preserve">“Terminé el trabajo”</w:t>
      </w:r>
      <w:r>
        <w:t xml:space="preserve">.</w:t>
      </w:r>
    </w:p>
    <w:p>
      <w:pPr>
        <w:pStyle w:val="Compact"/>
        <w:numPr>
          <w:ilvl w:val="0"/>
          <w:numId w:val="1002"/>
        </w:numPr>
      </w:pPr>
      <w:r>
        <w:t xml:space="preserve">Sistema: pide la aprobación del cliente con el desglose completo.</w:t>
      </w:r>
    </w:p>
    <w:p>
      <w:pPr>
        <w:pStyle w:val="Compact"/>
        <w:numPr>
          <w:ilvl w:val="0"/>
          <w:numId w:val="1002"/>
        </w:numPr>
      </w:pPr>
      <w:r>
        <w:t xml:space="preserve">Cliente: acepta o pulsa</w:t>
      </w:r>
      <w:r>
        <w:t xml:space="preserve"> </w:t>
      </w:r>
      <w:r>
        <w:t xml:space="preserve">“Tuve un problema”</w:t>
      </w:r>
      <w:r>
        <w:t xml:space="preserve">.</w:t>
      </w:r>
    </w:p>
    <w:p>
      <w:pPr>
        <w:pStyle w:val="Compact"/>
        <w:numPr>
          <w:ilvl w:val="0"/>
          <w:numId w:val="1002"/>
        </w:numPr>
      </w:pPr>
      <w:r>
        <w:t xml:space="preserve">Cliente, maestro y sistema: cierre con código y evaluación.</w:t>
      </w:r>
    </w:p>
    <w:p>
      <w:pPr>
        <w:pStyle w:val="FirstParagraph"/>
      </w:pPr>
      <w:r>
        <w:rPr>
          <w:b/>
          <w:bCs/>
        </w:rPr>
        <w:t xml:space="preserve">Del inicio a la elección (pasos 1 a 5).</w:t>
      </w:r>
      <w:r>
        <w:t xml:space="preserve"> </w:t>
      </w:r>
      <w:r>
        <w:t xml:space="preserve">En el paso 1 el cliente abre la app con sesión iniciada y un hogar activo en una comuna con cobertura; el inicio muestra los oficios contratables y la sección</w:t>
      </w:r>
      <w:r>
        <w:t xml:space="preserve"> </w:t>
      </w:r>
      <w:r>
        <w:t xml:space="preserve">“Próximamente”</w:t>
      </w:r>
      <w:r>
        <w:t xml:space="preserve">. En el paso 2 elige oficio y modalidad (programada o urgente) y describe el problema con fotografía recomendada o, en limpieza, completa el formulario de ambientes y la frecuencia. La primera solicitud exige una tarjeta registrada, y el servidor revisa que no haya datos de contacto. En el paso 3 el sistema publica la solicitud con un plazo según la modalidad y avisa a todos los maestros cuyo perfil calza en oficio, comuna y horario, sin selección ni exclusión; si el plazo vence sin ofertas, la vuelve a publicar y avisa al cliente. En el paso 4 el maestro revisa la solicitud, sin dirección exacta ni contacto, y oferta en un solo paso las dos cifras; el servidor calcula recargo, comisiones y total, y le muestra el neto que recibiría. En el paso 5 el cliente compara las ofertas, con desglose, calificación, cantidad de servicios y distancia aproximada, y elige una; la elección agenda el servicio y envía recordatorios a ambas partes, y no se cobra nada.</w:t>
      </w:r>
    </w:p>
    <w:p>
      <w:pPr>
        <w:pStyle w:val="BodyText"/>
      </w:pPr>
      <w:r>
        <w:rPr>
          <w:b/>
          <w:bCs/>
        </w:rPr>
        <w:t xml:space="preserve">El día del servicio (pasos 6 a 10).</w:t>
      </w:r>
      <w:r>
        <w:t xml:space="preserve"> </w:t>
      </w:r>
      <w:r>
        <w:t xml:space="preserve">En el paso 6 el maestro declara</w:t>
      </w:r>
      <w:r>
        <w:t xml:space="preserve"> </w:t>
      </w:r>
      <w:r>
        <w:t xml:space="preserve">“voy en camino”</w:t>
      </w:r>
      <w:r>
        <w:t xml:space="preserve"> </w:t>
      </w:r>
      <w:r>
        <w:t xml:space="preserve">desde su agenda; desde ese momento el cliente ya no puede cancelar sin costo. En el paso 7, al llegar, pulsa</w:t>
      </w:r>
      <w:r>
        <w:t xml:space="preserve"> </w:t>
      </w:r>
      <w:r>
        <w:t xml:space="preserve">“Llegué”</w:t>
      </w:r>
      <w:r>
        <w:t xml:space="preserve">: la app envía su posición en ese instante y el servidor la compara con el domicilio dentro de un radio configurable. No hay seguimiento durante el trayecto, y si la comprobación falla, el cliente valida la llegada desde su app. En el paso 8 el maestro confirma el estimado o lo ajusta con motivo, con los materiales incluidos si los hay; si el trabajo lo supera, lo declara y cancela sin cobro. En el paso 9 el cliente ve la fotografía y el monto definitivo con su desglose. Si acepta, se cobra una sola vez el total más su comisión, el dinero queda en custodia y el trabajo comienza; si no acepta, se cobra solo la tarifa de visita y el servicio se cancela. En el paso 10, si aparece un material no previsto, el maestro sube el comprobante de compra y el cliente lo aprueba o rechaza; lo aprobado se cobra al cierre en un cargo directo, sin custodia, íntegro para el maestro y sin comisión.</w:t>
      </w:r>
    </w:p>
    <w:p>
      <w:pPr>
        <w:pStyle w:val="BodyText"/>
      </w:pPr>
      <w:r>
        <w:rPr>
          <w:b/>
          <w:bCs/>
        </w:rPr>
        <w:t xml:space="preserve">El cierre (pasos 11 a 14).</w:t>
      </w:r>
      <w:r>
        <w:t xml:space="preserve"> </w:t>
      </w:r>
      <w:r>
        <w:t xml:space="preserve">En el paso 11 el maestro sube las fotografías del trabajo terminado, completa la lista de verificación de su oficio y pulsa</w:t>
      </w:r>
      <w:r>
        <w:t xml:space="preserve"> </w:t>
      </w:r>
      <w:r>
        <w:t xml:space="preserve">“Terminé el trabajo”</w:t>
      </w:r>
      <w:r>
        <w:t xml:space="preserve">. En el paso 12 el sistema avisa al cliente que el maestro pide su aprobación, con el desglose completo: valor cotizado, cada ajuste aprobado y total pagado. En el paso 13 el cliente revisa el trabajo y decide aceptar, o pulsar</w:t>
      </w:r>
      <w:r>
        <w:t xml:space="preserve"> </w:t>
      </w:r>
      <w:r>
        <w:t xml:space="preserve">“Tuve un problema”</w:t>
      </w:r>
      <w:r>
        <w:t xml:space="preserve"> </w:t>
      </w:r>
      <w:r>
        <w:t xml:space="preserve">para abrir una disputa con evidencia. En el paso 14, si acepta, su app muestra el código de cierre de tres dígitos y le pide una fotografía. El cliente le muestra el código al maestro, quien lo ingresa en su app; el servidor lo valida, libera el pago neto de comisión y habilita la evaluación de ambas partes.</w:t>
      </w:r>
    </w:p>
    <w:p>
      <w:pPr>
        <w:pStyle w:val="BodyText"/>
      </w:pPr>
      <w:r>
        <w:rPr>
          <w:b/>
          <w:bCs/>
        </w:rPr>
        <w:t xml:space="preserve">Cancelación.</w:t>
      </w:r>
      <w:r>
        <w:t xml:space="preserve"> </w:t>
      </w:r>
      <w:r>
        <w:t xml:space="preserve">El efecto depende de quién cancela y en qué paso. El cliente cancela sin costo hasta que el maestro declara</w:t>
      </w:r>
      <w:r>
        <w:t xml:space="preserve"> </w:t>
      </w:r>
      <w:r>
        <w:t xml:space="preserve">“voy en camino”</w:t>
      </w:r>
      <w:r>
        <w:t xml:space="preserve">; antes de ese punto no hay cobro que devolver, porque elegir no cobra. Desde el paso 6 su única salida es rechazar la cotización en terreno o no estar en el domicilio, y en ambos casos se cobra solo la tarifa de visita. Toda cancelación registra quién la hizo, en qué paso y con qué motivo; la torre de control puede eximir un cargo dejando constancia en la auditoría.</w:t>
      </w:r>
    </w:p>
    <w:p>
      <w:pPr>
        <w:pStyle w:val="BodyText"/>
      </w:pPr>
      <w:r>
        <w:rPr>
          <w:b/>
          <w:bCs/>
        </w:rPr>
        <w:t xml:space="preserve">El maestro declara que el trabajo lo supera.</w:t>
      </w:r>
      <w:r>
        <w:t xml:space="preserve"> </w:t>
      </w:r>
      <w:r>
        <w:t xml:space="preserve">Si al diagnosticar concluye que el problema escapa a su capacidad, lo declara en la app y el servicio se cancela sin cobro para el cliente ni pago para el maestro. El sistema pregunta al cliente si quiere volver a publicar; si acepta, se abre una ronda nueva con el diagnóstico y la fotografía del primer maestro visibles para los siguientes oferentes, sin que el cliente reescriba nada. Esta cancelación se registra aparte de las de incumplimiento, para que la torre de control detecte patrones.</w:t>
      </w:r>
    </w:p>
    <w:p>
      <w:pPr>
        <w:pStyle w:val="BodyText"/>
      </w:pPr>
      <w:r>
        <w:rPr>
          <w:b/>
          <w:bCs/>
        </w:rPr>
        <w:t xml:space="preserve">Disputa.</w:t>
      </w:r>
      <w:r>
        <w:t xml:space="preserve"> </w:t>
      </w:r>
      <w:r>
        <w:t xml:space="preserve">Desde que el cliente acepta el monto en terreno y hasta el cierre, y también tras completarse el servicio dentro de un plazo configurable, el cliente puede pulsar</w:t>
      </w:r>
      <w:r>
        <w:t xml:space="preserve"> </w:t>
      </w:r>
      <w:r>
        <w:t xml:space="preserve">“Tuve un problema”</w:t>
      </w:r>
      <w:r>
        <w:t xml:space="preserve">. Se abre un caso con descripción y evidencia, el pago deja de seguir el camino normal de liberación y la torre de control recibe el caso. El maestro es notificado y puede responder. El administrador resuelve liberando el pago, reembolsando una parte o el total; la comisión se revierte en proporción y la resolución queda en la auditoría.</w:t>
      </w:r>
    </w:p>
    <w:bookmarkEnd w:id="24"/>
    <w:bookmarkStart w:id="38" w:name="requerimientos-funcionales-por-módulo"/>
    <w:p>
      <w:pPr>
        <w:pStyle w:val="Heading1"/>
      </w:pPr>
      <w:r>
        <w:t xml:space="preserve">4. Requerimientos funcionales por módulo</w:t>
      </w:r>
    </w:p>
    <w:p>
      <w:pPr>
        <w:pStyle w:val="FirstParagraph"/>
      </w:pPr>
      <w:r>
        <w:t xml:space="preserve">Los requerimientos se identifican con códigos propios de este documento (RF-01 en adelante), correlativos en todo el texto. La prioridad indica si el requerimiento forma parte del MVP que se demuestra en octubre de 2026 o si quedó para una versión posterior.</w:t>
      </w:r>
    </w:p>
    <w:bookmarkStart w:id="25" w:name="cuenta-y-acceso"/>
    <w:p>
      <w:pPr>
        <w:pStyle w:val="Heading2"/>
      </w:pPr>
      <w:r>
        <w:t xml:space="preserve">4.1 Cuenta y acceso</w:t>
      </w:r>
    </w:p>
    <w:p>
      <w:pPr>
        <w:pStyle w:val="FirstParagraph"/>
      </w:pPr>
      <w:r>
        <w:t xml:space="preserve">Una sola aplicación atiende a clientes y maestros; la navegación cambia según el rol. Toda cuenta nueva pasa por revisión de la torre de control antes de operar, y esa espera se muestra como una pantalla normal, no como un error.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Código</w:t>
            </w:r>
          </w:p>
        </w:tc>
        <w:tc>
          <w:tcPr/>
          <w:p>
            <w:pPr>
              <w:pStyle w:val="Compact"/>
            </w:pPr>
            <w:r>
              <w:rPr>
                <w:b/>
                <w:bCs/>
              </w:rPr>
              <w:t xml:space="preserve">El sistema permite…</w:t>
            </w:r>
          </w:p>
        </w:tc>
        <w:tc>
          <w:tcPr/>
          <w:p>
            <w:pPr>
              <w:pStyle w:val="Compact"/>
            </w:pPr>
            <w:r>
              <w:rPr>
                <w:b/>
                <w:bCs/>
              </w:rPr>
              <w:t xml:space="preserve">Prioridad</w:t>
            </w:r>
          </w:p>
        </w:tc>
      </w:tr>
      <w:tr>
        <w:tc>
          <w:tcPr/>
          <w:p>
            <w:pPr>
              <w:pStyle w:val="Compact"/>
            </w:pPr>
            <w:r>
              <w:t xml:space="preserve">RF-01</w:t>
            </w:r>
          </w:p>
        </w:tc>
        <w:tc>
          <w:tcPr/>
          <w:p>
            <w:pPr>
              <w:pStyle w:val="Compact"/>
            </w:pPr>
            <w:r>
              <w:t xml:space="preserve">Crear una cuenta con nombre, apellido, correo y contraseña, aceptando los términos y la política de privacidad, y activarla con un código de un solo uso enviado al correo.</w:t>
            </w:r>
          </w:p>
        </w:tc>
        <w:tc>
          <w:tcPr/>
          <w:p>
            <w:pPr>
              <w:pStyle w:val="Compact"/>
            </w:pPr>
            <w:r>
              <w:t xml:space="preserve">MVP</w:t>
            </w:r>
          </w:p>
        </w:tc>
      </w:tr>
      <w:tr>
        <w:tc>
          <w:tcPr/>
          <w:p>
            <w:pPr>
              <w:pStyle w:val="Compact"/>
            </w:pPr>
            <w:r>
              <w:t xml:space="preserve">RF-02</w:t>
            </w:r>
          </w:p>
        </w:tc>
        <w:tc>
          <w:tcPr/>
          <w:p>
            <w:pPr>
              <w:pStyle w:val="Compact"/>
            </w:pPr>
            <w:r>
              <w:t xml:space="preserve">Iniciar y cerrar sesión, revocar otras sesiones y recuperar la contraseña con un código de seis dígitos al correo verificado, de un solo uso y con límite de intentos, sin revelar si el correo existe.</w:t>
            </w:r>
          </w:p>
        </w:tc>
        <w:tc>
          <w:tcPr/>
          <w:p>
            <w:pPr>
              <w:pStyle w:val="Compact"/>
            </w:pPr>
            <w:r>
              <w:t xml:space="preserve">MVP</w:t>
            </w:r>
          </w:p>
        </w:tc>
      </w:tr>
      <w:tr>
        <w:tc>
          <w:tcPr/>
          <w:p>
            <w:pPr>
              <w:pStyle w:val="Compact"/>
            </w:pPr>
            <w:r>
              <w:t xml:space="preserve">RF-03</w:t>
            </w:r>
          </w:p>
        </w:tc>
        <w:tc>
          <w:tcPr/>
          <w:p>
            <w:pPr>
              <w:pStyle w:val="Compact"/>
            </w:pPr>
            <w:r>
              <w:t xml:space="preserve">Operar como cliente o activar el modo prestador dentro de la misma app, según el rol habilitado, adaptando la navegación y las funciones disponibles.</w:t>
            </w:r>
          </w:p>
        </w:tc>
        <w:tc>
          <w:tcPr/>
          <w:p>
            <w:pPr>
              <w:pStyle w:val="Compact"/>
            </w:pPr>
            <w:r>
              <w:t xml:space="preserve">MVP</w:t>
            </w:r>
          </w:p>
        </w:tc>
      </w:tr>
      <w:tr>
        <w:tc>
          <w:tcPr/>
          <w:p>
            <w:pPr>
              <w:pStyle w:val="Compact"/>
            </w:pPr>
            <w:r>
              <w:t xml:space="preserve">RF-04</w:t>
            </w:r>
          </w:p>
        </w:tc>
        <w:tc>
          <w:tcPr/>
          <w:p>
            <w:pPr>
              <w:pStyle w:val="Compact"/>
            </w:pPr>
            <w:r>
              <w:t xml:space="preserve">Mostrar el estado de la cuenta (pendiente de aprobación, aprobada, rechazada o suspendida) en una pantalla propia, con el motivo cuando corresponde.</w:t>
            </w:r>
          </w:p>
        </w:tc>
        <w:tc>
          <w:tcPr/>
          <w:p>
            <w:pPr>
              <w:pStyle w:val="Compact"/>
            </w:pPr>
            <w:r>
              <w:t xml:space="preserve">MVP</w:t>
            </w:r>
          </w:p>
        </w:tc>
      </w:tr>
    </w:tbl>
    <w:p>
      <w:pPr>
        <w:pStyle w:val="BodyText"/>
      </w:pPr>
      <w:r>
        <w:rPr>
          <w:b/>
          <w:bCs/>
        </w:rPr>
        <w:t xml:space="preserve">Precisiones.</w:t>
      </w:r>
      <w:r>
        <w:t xml:space="preserve"> </w:t>
      </w:r>
      <w:r>
        <w:t xml:space="preserve">En RF-01, no se usan mensajes de texto para verificar. En RF-04, una cuenta no aprobada no puede crear solicitudes ni ofertar por ninguna ruta.</w:t>
      </w:r>
    </w:p>
    <w:bookmarkEnd w:id="25"/>
    <w:bookmarkStart w:id="26" w:name="hogares-y-cobertura"/>
    <w:p>
      <w:pPr>
        <w:pStyle w:val="Heading2"/>
      </w:pPr>
      <w:r>
        <w:t xml:space="preserve">4.2 Hogares y cobertura</w:t>
      </w:r>
    </w:p>
    <w:p>
      <w:pPr>
        <w:pStyle w:val="FirstParagraph"/>
      </w:pPr>
      <w:r>
        <w:t xml:space="preserve">El cliente contrata para un hogar concreto con dirección validada; la cobertura depende de la comuna del hogar y de los maestros que declaran atenderla.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Código</w:t>
            </w:r>
          </w:p>
        </w:tc>
        <w:tc>
          <w:tcPr/>
          <w:p>
            <w:pPr>
              <w:pStyle w:val="Compact"/>
            </w:pPr>
            <w:r>
              <w:rPr>
                <w:b/>
                <w:bCs/>
              </w:rPr>
              <w:t xml:space="preserve">El sistema permite…</w:t>
            </w:r>
          </w:p>
        </w:tc>
        <w:tc>
          <w:tcPr/>
          <w:p>
            <w:pPr>
              <w:pStyle w:val="Compact"/>
            </w:pPr>
            <w:r>
              <w:rPr>
                <w:b/>
                <w:bCs/>
              </w:rPr>
              <w:t xml:space="preserve">Prioridad</w:t>
            </w:r>
          </w:p>
        </w:tc>
      </w:tr>
      <w:tr>
        <w:tc>
          <w:tcPr/>
          <w:p>
            <w:pPr>
              <w:pStyle w:val="Compact"/>
            </w:pPr>
            <w:r>
              <w:t xml:space="preserve">RF-05</w:t>
            </w:r>
          </w:p>
        </w:tc>
        <w:tc>
          <w:tcPr/>
          <w:p>
            <w:pPr>
              <w:pStyle w:val="Compact"/>
            </w:pPr>
            <w:r>
              <w:t xml:space="preserve">Crear, editar, archivar y seleccionar un hogar principal, con alias, tipo de vivienda, dirección geocodificada y pin validado en el mapa.</w:t>
            </w:r>
          </w:p>
        </w:tc>
        <w:tc>
          <w:tcPr/>
          <w:p>
            <w:pPr>
              <w:pStyle w:val="Compact"/>
            </w:pPr>
            <w:r>
              <w:t xml:space="preserve">MVP</w:t>
            </w:r>
          </w:p>
        </w:tc>
      </w:tr>
      <w:tr>
        <w:tc>
          <w:tcPr/>
          <w:p>
            <w:pPr>
              <w:pStyle w:val="Compact"/>
            </w:pPr>
            <w:r>
              <w:t xml:space="preserve">RF-06</w:t>
            </w:r>
          </w:p>
        </w:tc>
        <w:tc>
          <w:tcPr/>
          <w:p>
            <w:pPr>
              <w:pStyle w:val="Compact"/>
            </w:pPr>
            <w:r>
              <w:t xml:space="preserve">Calcular y mostrar la cobertura del hogar (activa o no activa) según el polígono administrativo de su comuna.</w:t>
            </w:r>
          </w:p>
        </w:tc>
        <w:tc>
          <w:tcPr/>
          <w:p>
            <w:pPr>
              <w:pStyle w:val="Compact"/>
            </w:pPr>
            <w:r>
              <w:t xml:space="preserve">MVP</w:t>
            </w:r>
          </w:p>
        </w:tc>
      </w:tr>
      <w:tr>
        <w:tc>
          <w:tcPr/>
          <w:p>
            <w:pPr>
              <w:pStyle w:val="Compact"/>
            </w:pPr>
            <w:r>
              <w:t xml:space="preserve">RF-07</w:t>
            </w:r>
          </w:p>
        </w:tc>
        <w:tc>
          <w:tcPr/>
          <w:p>
            <w:pPr>
              <w:pStyle w:val="Compact"/>
            </w:pPr>
            <w:r>
              <w:t xml:space="preserve">Guardar las condiciones de acceso al hogar (código del edificio, indicaciones, mascotas) y compartirlas solo con el maestro elegido y solo durante la ventana del servicio.</w:t>
            </w:r>
          </w:p>
        </w:tc>
        <w:tc>
          <w:tcPr/>
          <w:p>
            <w:pPr>
              <w:pStyle w:val="Compact"/>
            </w:pPr>
            <w:r>
              <w:t xml:space="preserve">MVP</w:t>
            </w:r>
          </w:p>
        </w:tc>
      </w:tr>
      <w:tr>
        <w:tc>
          <w:tcPr/>
          <w:p>
            <w:pPr>
              <w:pStyle w:val="Compact"/>
            </w:pPr>
            <w:r>
              <w:t xml:space="preserve">RF-08</w:t>
            </w:r>
          </w:p>
        </w:tc>
        <w:tc>
          <w:tcPr/>
          <w:p>
            <w:pPr>
              <w:pStyle w:val="Compact"/>
            </w:pPr>
            <w:r>
              <w:t xml:space="preserve">Activar automáticamente una comuna no operativa cuando reúne el umbral de maestros con Sello RELWO y disponibilidad declarada para el oficio, con constancia en la auditoría y aviso a la torre de control.</w:t>
            </w:r>
          </w:p>
        </w:tc>
        <w:tc>
          <w:tcPr/>
          <w:p>
            <w:pPr>
              <w:pStyle w:val="Compact"/>
            </w:pPr>
            <w:r>
              <w:t xml:space="preserve">MVP</w:t>
            </w:r>
          </w:p>
        </w:tc>
      </w:tr>
    </w:tbl>
    <w:p>
      <w:pPr>
        <w:pStyle w:val="BodyText"/>
      </w:pPr>
      <w:r>
        <w:rPr>
          <w:b/>
          <w:bCs/>
        </w:rPr>
        <w:t xml:space="preserve">Precisiones.</w:t>
      </w:r>
      <w:r>
        <w:t xml:space="preserve"> </w:t>
      </w:r>
      <w:r>
        <w:t xml:space="preserve">En RF-05, un hogar con servicios activos no se elimina, y un cambio que afecta un servicio agendado genera advertencia. En RF-06, si el hogar está fuera de cobertura, se muestra un mensaje de espera y se registra el interés por comuna. En RF-08, una desactivación manual vigente prevalece.</w:t>
      </w:r>
    </w:p>
    <w:bookmarkEnd w:id="26"/>
    <w:bookmarkStart w:id="27" w:name="catálogo-de-oficios-y-solicitud"/>
    <w:p>
      <w:pPr>
        <w:pStyle w:val="Heading2"/>
      </w:pPr>
      <w:r>
        <w:t xml:space="preserve">4.3 Catálogo de oficios y solicitud</w:t>
      </w:r>
    </w:p>
    <w:p>
      <w:pPr>
        <w:pStyle w:val="FirstParagraph"/>
      </w:pPr>
      <w:r>
        <w:t xml:space="preserve">El inicio es un selector de servicio con la comuna activa, la atención de emergencia, los oficios contratables y los servicios</w:t>
      </w:r>
      <w:r>
        <w:t xml:space="preserve"> </w:t>
      </w:r>
      <w:r>
        <w:t xml:space="preserve">“Próximamente”</w:t>
      </w:r>
      <w:r>
        <w:t xml:space="preserve">; el cliente nunca ve un precio antes de enviar su solicitud.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Código</w:t>
            </w:r>
          </w:p>
        </w:tc>
        <w:tc>
          <w:tcPr/>
          <w:p>
            <w:pPr>
              <w:pStyle w:val="Compact"/>
            </w:pPr>
            <w:r>
              <w:rPr>
                <w:b/>
                <w:bCs/>
              </w:rPr>
              <w:t xml:space="preserve">El sistema permite…</w:t>
            </w:r>
          </w:p>
        </w:tc>
        <w:tc>
          <w:tcPr/>
          <w:p>
            <w:pPr>
              <w:pStyle w:val="Compact"/>
            </w:pPr>
            <w:r>
              <w:rPr>
                <w:b/>
                <w:bCs/>
              </w:rPr>
              <w:t xml:space="preserve">Prioridad</w:t>
            </w:r>
          </w:p>
        </w:tc>
      </w:tr>
      <w:tr>
        <w:tc>
          <w:tcPr/>
          <w:p>
            <w:pPr>
              <w:pStyle w:val="Compact"/>
            </w:pPr>
            <w:r>
              <w:t xml:space="preserve">RF-09</w:t>
            </w:r>
          </w:p>
        </w:tc>
        <w:tc>
          <w:tcPr/>
          <w:p>
            <w:pPr>
              <w:pStyle w:val="Compact"/>
            </w:pPr>
            <w:r>
              <w:t xml:space="preserve">Mostrar el catálogo de oficios y su estado (contratable o</w:t>
            </w:r>
            <w:r>
              <w:t xml:space="preserve"> </w:t>
            </w:r>
            <w:r>
              <w:t xml:space="preserve">“Próximamente”</w:t>
            </w:r>
            <w:r>
              <w:t xml:space="preserve">) según el hogar y la comuna activos, con datos del servidor y nunca fijos en la app.</w:t>
            </w:r>
          </w:p>
        </w:tc>
        <w:tc>
          <w:tcPr/>
          <w:p>
            <w:pPr>
              <w:pStyle w:val="Compact"/>
            </w:pPr>
            <w:r>
              <w:t xml:space="preserve">MVP</w:t>
            </w:r>
          </w:p>
        </w:tc>
      </w:tr>
      <w:tr>
        <w:tc>
          <w:tcPr/>
          <w:p>
            <w:pPr>
              <w:pStyle w:val="Compact"/>
            </w:pPr>
            <w:r>
              <w:t xml:space="preserve">RF-10</w:t>
            </w:r>
          </w:p>
        </w:tc>
        <w:tc>
          <w:tcPr/>
          <w:p>
            <w:pPr>
              <w:pStyle w:val="Compact"/>
            </w:pPr>
            <w:r>
              <w:t xml:space="preserve">Crear una solicitud sin precio previo: en limpieza, con el formulario de ambientes, la frecuencia (una vez, quincenal o semanal) y la ventana horaria; en gasfitería y cerrajería, con texto libre, fotografía recomendada y modalidad programada o urgente.</w:t>
            </w:r>
          </w:p>
        </w:tc>
        <w:tc>
          <w:tcPr/>
          <w:p>
            <w:pPr>
              <w:pStyle w:val="Compact"/>
            </w:pPr>
            <w:r>
              <w:t xml:space="preserve">MVP</w:t>
            </w:r>
          </w:p>
        </w:tc>
      </w:tr>
      <w:tr>
        <w:tc>
          <w:tcPr/>
          <w:p>
            <w:pPr>
              <w:pStyle w:val="Compact"/>
            </w:pPr>
            <w:r>
              <w:t xml:space="preserve">RF-11</w:t>
            </w:r>
          </w:p>
        </w:tc>
        <w:tc>
          <w:tcPr/>
          <w:p>
            <w:pPr>
              <w:pStyle w:val="Compact"/>
            </w:pPr>
            <w:r>
              <w:t xml:space="preserve">Exigir una tarjeta registrada en la pasarela antes de enviar la primera solicitud, guardando solo la referencia y explicando al cliente por qué se le pide en ese momento.</w:t>
            </w:r>
          </w:p>
        </w:tc>
        <w:tc>
          <w:tcPr/>
          <w:p>
            <w:pPr>
              <w:pStyle w:val="Compact"/>
            </w:pPr>
            <w:r>
              <w:t xml:space="preserve">MVP</w:t>
            </w:r>
          </w:p>
        </w:tc>
      </w:tr>
      <w:tr>
        <w:tc>
          <w:tcPr/>
          <w:p>
            <w:pPr>
              <w:pStyle w:val="Compact"/>
            </w:pPr>
            <w:r>
              <w:t xml:space="preserve">RF-12</w:t>
            </w:r>
          </w:p>
        </w:tc>
        <w:tc>
          <w:tcPr/>
          <w:p>
            <w:pPr>
              <w:pStyle w:val="Compact"/>
            </w:pPr>
            <w:r>
              <w:t xml:space="preserve">Revisar la descripción y las fotografías antes de publicar en busca de teléfonos, correos o redes sociales, y rechazar la publicación con un aviso claro si los encuentra.</w:t>
            </w:r>
          </w:p>
        </w:tc>
        <w:tc>
          <w:tcPr/>
          <w:p>
            <w:pPr>
              <w:pStyle w:val="Compact"/>
            </w:pPr>
            <w:r>
              <w:t xml:space="preserve">MVP</w:t>
            </w:r>
          </w:p>
        </w:tc>
      </w:tr>
    </w:tbl>
    <w:p>
      <w:pPr>
        <w:pStyle w:val="BodyText"/>
      </w:pPr>
      <w:r>
        <w:rPr>
          <w:b/>
          <w:bCs/>
        </w:rPr>
        <w:t xml:space="preserve">Precisiones.</w:t>
      </w:r>
      <w:r>
        <w:t xml:space="preserve"> </w:t>
      </w:r>
      <w:r>
        <w:t xml:space="preserve">En RF-09, al tocar un servicio</w:t>
      </w:r>
      <w:r>
        <w:t xml:space="preserve"> </w:t>
      </w:r>
      <w:r>
        <w:t xml:space="preserve">“Próximamente”</w:t>
      </w:r>
      <w:r>
        <w:t xml:space="preserve"> </w:t>
      </w:r>
      <w:r>
        <w:t xml:space="preserve">se registra el interés por servicio y comuna. En RF-10, cada visita de una serie recurrente es un servicio independiente.</w:t>
      </w:r>
    </w:p>
    <w:bookmarkEnd w:id="27"/>
    <w:bookmarkStart w:id="28" w:name="publicación-y-ofertas"/>
    <w:p>
      <w:pPr>
        <w:pStyle w:val="Heading2"/>
      </w:pPr>
      <w:r>
        <w:t xml:space="preserve">4.4 Publicación y ofertas</w:t>
      </w:r>
    </w:p>
    <w:p>
      <w:pPr>
        <w:pStyle w:val="FirstParagraph"/>
      </w:pPr>
      <w:r>
        <w:t xml:space="preserve">La plataforma no asigna maestros: publica la solicitud y los interesados ofertan. El cliente elige entre las ofertas recibidas, y elegir no cobra.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Código</w:t>
            </w:r>
          </w:p>
        </w:tc>
        <w:tc>
          <w:tcPr/>
          <w:p>
            <w:pPr>
              <w:pStyle w:val="Compact"/>
            </w:pPr>
            <w:r>
              <w:rPr>
                <w:b/>
                <w:bCs/>
              </w:rPr>
              <w:t xml:space="preserve">El sistema permite…</w:t>
            </w:r>
          </w:p>
        </w:tc>
        <w:tc>
          <w:tcPr/>
          <w:p>
            <w:pPr>
              <w:pStyle w:val="Compact"/>
            </w:pPr>
            <w:r>
              <w:rPr>
                <w:b/>
                <w:bCs/>
              </w:rPr>
              <w:t xml:space="preserve">Prioridad</w:t>
            </w:r>
          </w:p>
        </w:tc>
      </w:tr>
      <w:tr>
        <w:tc>
          <w:tcPr/>
          <w:p>
            <w:pPr>
              <w:pStyle w:val="Compact"/>
            </w:pPr>
            <w:r>
              <w:t xml:space="preserve">RF-13</w:t>
            </w:r>
          </w:p>
        </w:tc>
        <w:tc>
          <w:tcPr/>
          <w:p>
            <w:pPr>
              <w:pStyle w:val="Compact"/>
            </w:pPr>
            <w:r>
              <w:t xml:space="preserve">Publicar la solicitud con un plazo configurable por modalidad y avisar a todos los maestros habilitados cuyo perfil calza en oficio, comuna y horario, sin selección ni exclusión.</w:t>
            </w:r>
          </w:p>
        </w:tc>
        <w:tc>
          <w:tcPr/>
          <w:p>
            <w:pPr>
              <w:pStyle w:val="Compact"/>
            </w:pPr>
            <w:r>
              <w:t xml:space="preserve">MVP</w:t>
            </w:r>
          </w:p>
        </w:tc>
      </w:tr>
      <w:tr>
        <w:tc>
          <w:tcPr/>
          <w:p>
            <w:pPr>
              <w:pStyle w:val="Compact"/>
            </w:pPr>
            <w:r>
              <w:t xml:space="preserve">RF-14</w:t>
            </w:r>
          </w:p>
        </w:tc>
        <w:tc>
          <w:tcPr/>
          <w:p>
            <w:pPr>
              <w:pStyle w:val="Compact"/>
            </w:pPr>
            <w:r>
              <w:t xml:space="preserve">Ofertar en un solo paso con dos cifras, valor estimado y tarifa de visita, sin sugerencia de precio.</w:t>
            </w:r>
          </w:p>
        </w:tc>
        <w:tc>
          <w:tcPr/>
          <w:p>
            <w:pPr>
              <w:pStyle w:val="Compact"/>
            </w:pPr>
            <w:r>
              <w:t xml:space="preserve">MVP</w:t>
            </w:r>
          </w:p>
        </w:tc>
      </w:tr>
      <w:tr>
        <w:tc>
          <w:tcPr/>
          <w:p>
            <w:pPr>
              <w:pStyle w:val="Compact"/>
            </w:pPr>
            <w:r>
              <w:t xml:space="preserve">RF-15</w:t>
            </w:r>
          </w:p>
        </w:tc>
        <w:tc>
          <w:tcPr/>
          <w:p>
            <w:pPr>
              <w:pStyle w:val="Compact"/>
            </w:pPr>
            <w:r>
              <w:t xml:space="preserve">Mostrar al cliente las ofertas en orden de llegada, reordenables, con desglose, calificación, cantidad de servicios y distancia aproximada, y elegir una.</w:t>
            </w:r>
          </w:p>
        </w:tc>
        <w:tc>
          <w:tcPr/>
          <w:p>
            <w:pPr>
              <w:pStyle w:val="Compact"/>
            </w:pPr>
            <w:r>
              <w:t xml:space="preserve">MVP</w:t>
            </w:r>
          </w:p>
        </w:tc>
      </w:tr>
      <w:tr>
        <w:tc>
          <w:tcPr/>
          <w:p>
            <w:pPr>
              <w:pStyle w:val="Compact"/>
            </w:pPr>
            <w:r>
              <w:t xml:space="preserve">RF-16</w:t>
            </w:r>
          </w:p>
        </w:tc>
        <w:tc>
          <w:tcPr/>
          <w:p>
            <w:pPr>
              <w:pStyle w:val="Compact"/>
            </w:pPr>
            <w:r>
              <w:t xml:space="preserve">Volver a publicar automáticamente una solicitud cuyo plazo venció sin ofertas, con rondas máximas configurables y aviso al cliente.</w:t>
            </w:r>
          </w:p>
        </w:tc>
        <w:tc>
          <w:tcPr/>
          <w:p>
            <w:pPr>
              <w:pStyle w:val="Compact"/>
            </w:pPr>
            <w:r>
              <w:t xml:space="preserve">MVP</w:t>
            </w:r>
          </w:p>
        </w:tc>
      </w:tr>
      <w:tr>
        <w:tc>
          <w:tcPr/>
          <w:p>
            <w:pPr>
              <w:pStyle w:val="Compact"/>
            </w:pPr>
            <w:r>
              <w:t xml:space="preserve">RF-17</w:t>
            </w:r>
          </w:p>
        </w:tc>
        <w:tc>
          <w:tcPr/>
          <w:p>
            <w:pPr>
              <w:pStyle w:val="Compact"/>
            </w:pPr>
            <w:r>
              <w:t xml:space="preserve">Mostrar al cliente un valor de referencia de mercado por oficio, modalidad y comuna, cargado por la torre de control o calculado como mediana con muestra mínima, sin exponerlo nunca al maestro.</w:t>
            </w:r>
          </w:p>
        </w:tc>
        <w:tc>
          <w:tcPr/>
          <w:p>
            <w:pPr>
              <w:pStyle w:val="Compact"/>
            </w:pPr>
            <w:r>
              <w:t xml:space="preserve">Posterior</w:t>
            </w:r>
          </w:p>
        </w:tc>
      </w:tr>
    </w:tbl>
    <w:p>
      <w:pPr>
        <w:pStyle w:val="BodyText"/>
      </w:pPr>
      <w:r>
        <w:rPr>
          <w:b/>
          <w:bCs/>
        </w:rPr>
        <w:t xml:space="preserve">Precisiones.</w:t>
      </w:r>
      <w:r>
        <w:t xml:space="preserve"> </w:t>
      </w:r>
      <w:r>
        <w:t xml:space="preserve">En RF-13, cada maestro ve además una bandeja con las publicaciones abiertas. En RF-14, el servidor valida la visita contra el tope del oficio, calcula recargo, comisiones y total, y muestra al maestro el neto que recibiría. La oferta puede retirarse antes de la elección. En RF-15, la elección es exclusiva e idempotente: ante reintentos queda una sola elegida y no hay cargo. En RF-16, la asignación manual desde el panel existe solo como herramienta interna de soporte, con auditoría.</w:t>
      </w:r>
    </w:p>
    <w:bookmarkEnd w:id="28"/>
    <w:bookmarkStart w:id="29" w:name="agenda-y-día-del-servicio"/>
    <w:p>
      <w:pPr>
        <w:pStyle w:val="Heading2"/>
      </w:pPr>
      <w:r>
        <w:t xml:space="preserve">4.5 Agenda y día del servicio</w:t>
      </w:r>
    </w:p>
    <w:p>
      <w:pPr>
        <w:pStyle w:val="FirstParagraph"/>
      </w:pPr>
      <w:r>
        <w:t xml:space="preserve">Elegida la oferta, el servicio queda agendado sin cobro y el cliente sigue el día del servicio por hitos en palabras.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Código</w:t>
            </w:r>
          </w:p>
        </w:tc>
        <w:tc>
          <w:tcPr/>
          <w:p>
            <w:pPr>
              <w:pStyle w:val="Compact"/>
            </w:pPr>
            <w:r>
              <w:rPr>
                <w:b/>
                <w:bCs/>
              </w:rPr>
              <w:t xml:space="preserve">El sistema permite…</w:t>
            </w:r>
          </w:p>
        </w:tc>
        <w:tc>
          <w:tcPr/>
          <w:p>
            <w:pPr>
              <w:pStyle w:val="Compact"/>
            </w:pPr>
            <w:r>
              <w:rPr>
                <w:b/>
                <w:bCs/>
              </w:rPr>
              <w:t xml:space="preserve">Prioridad</w:t>
            </w:r>
          </w:p>
        </w:tc>
      </w:tr>
      <w:tr>
        <w:tc>
          <w:tcPr/>
          <w:p>
            <w:pPr>
              <w:pStyle w:val="Compact"/>
            </w:pPr>
            <w:r>
              <w:t xml:space="preserve">RF-18</w:t>
            </w:r>
          </w:p>
        </w:tc>
        <w:tc>
          <w:tcPr/>
          <w:p>
            <w:pPr>
              <w:pStyle w:val="Compact"/>
            </w:pPr>
            <w:r>
              <w:t xml:space="preserve">Mostrar al maestro su agenda, enviar recordatorios a ambas partes, declarar</w:t>
            </w:r>
            <w:r>
              <w:t xml:space="preserve"> </w:t>
            </w:r>
            <w:r>
              <w:t xml:space="preserve">“voy en camino”</w:t>
            </w:r>
            <w:r>
              <w:t xml:space="preserve"> </w:t>
            </w:r>
            <w:r>
              <w:t xml:space="preserve">y mostrar al cliente una línea de tiempo en palabras y un mapa con la posición aproximada del maestro durante el tramo en camino, sin guardar el recorrido.</w:t>
            </w:r>
          </w:p>
        </w:tc>
        <w:tc>
          <w:tcPr/>
          <w:p>
            <w:pPr>
              <w:pStyle w:val="Compact"/>
            </w:pPr>
            <w:r>
              <w:t xml:space="preserve">MVP</w:t>
            </w:r>
          </w:p>
        </w:tc>
      </w:tr>
      <w:tr>
        <w:tc>
          <w:tcPr/>
          <w:p>
            <w:pPr>
              <w:pStyle w:val="Compact"/>
            </w:pPr>
            <w:r>
              <w:t xml:space="preserve">RF-19</w:t>
            </w:r>
          </w:p>
        </w:tc>
        <w:tc>
          <w:tcPr/>
          <w:p>
            <w:pPr>
              <w:pStyle w:val="Compact"/>
            </w:pPr>
            <w:r>
              <w:t xml:space="preserve">Declarar la llegada con una comprobación puntual de posición contra el domicilio dentro de un radio configurable.</w:t>
            </w:r>
          </w:p>
        </w:tc>
        <w:tc>
          <w:tcPr/>
          <w:p>
            <w:pPr>
              <w:pStyle w:val="Compact"/>
            </w:pPr>
            <w:r>
              <w:t xml:space="preserve">MVP</w:t>
            </w:r>
          </w:p>
        </w:tc>
      </w:tr>
      <w:tr>
        <w:tc>
          <w:tcPr/>
          <w:p>
            <w:pPr>
              <w:pStyle w:val="Compact"/>
            </w:pPr>
            <w:r>
              <w:t xml:space="preserve">RF-20</w:t>
            </w:r>
          </w:p>
        </w:tc>
        <w:tc>
          <w:tcPr/>
          <w:p>
            <w:pPr>
              <w:pStyle w:val="Compact"/>
            </w:pPr>
            <w:r>
              <w:t xml:space="preserve">Operar sin conexión mostrando un aviso y la última información consultada, sin permitir acciones económicas (ofertar, aceptar, pagar, cerrar) y sin guardar en el dispositivo el código de cierre ni los datos de acceso al hogar.</w:t>
            </w:r>
          </w:p>
        </w:tc>
        <w:tc>
          <w:tcPr/>
          <w:p>
            <w:pPr>
              <w:pStyle w:val="Compact"/>
            </w:pPr>
            <w:r>
              <w:t xml:space="preserve">MVP</w:t>
            </w:r>
          </w:p>
        </w:tc>
      </w:tr>
    </w:tbl>
    <w:p>
      <w:pPr>
        <w:pStyle w:val="BodyText"/>
      </w:pPr>
      <w:r>
        <w:rPr>
          <w:b/>
          <w:bCs/>
        </w:rPr>
        <w:t xml:space="preserve">Precisiones.</w:t>
      </w:r>
      <w:r>
        <w:t xml:space="preserve"> </w:t>
      </w:r>
      <w:r>
        <w:t xml:space="preserve">En RF-19, fuera del radio la llegada no se registra; si la comprobación falla, el cliente puede validar la llegada desde su app.</w:t>
      </w:r>
    </w:p>
    <w:bookmarkEnd w:id="29"/>
    <w:bookmarkStart w:id="30" w:name="X40d8438ccb16ba7d12c55237ac631c14823b379"/>
    <w:p>
      <w:pPr>
        <w:pStyle w:val="Heading2"/>
      </w:pPr>
      <w:r>
        <w:t xml:space="preserve">4.6 Cotización en terreno, gastos imprevistos y aprobación</w:t>
      </w:r>
    </w:p>
    <w:p>
      <w:pPr>
        <w:pStyle w:val="FirstParagraph"/>
      </w:pPr>
      <w:r>
        <w:t xml:space="preserve">El precio definitivo se fija tras el diagnóstico en el domicilio y lo aprueba el cliente en la app; sin esa aprobación no hay cobro ni inicio.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Código</w:t>
            </w:r>
          </w:p>
        </w:tc>
        <w:tc>
          <w:tcPr/>
          <w:p>
            <w:pPr>
              <w:pStyle w:val="Compact"/>
            </w:pPr>
            <w:r>
              <w:rPr>
                <w:b/>
                <w:bCs/>
              </w:rPr>
              <w:t xml:space="preserve">El sistema permite…</w:t>
            </w:r>
          </w:p>
        </w:tc>
        <w:tc>
          <w:tcPr/>
          <w:p>
            <w:pPr>
              <w:pStyle w:val="Compact"/>
            </w:pPr>
            <w:r>
              <w:rPr>
                <w:b/>
                <w:bCs/>
              </w:rPr>
              <w:t xml:space="preserve">Prioridad</w:t>
            </w:r>
          </w:p>
        </w:tc>
      </w:tr>
      <w:tr>
        <w:tc>
          <w:tcPr/>
          <w:p>
            <w:pPr>
              <w:pStyle w:val="Compact"/>
            </w:pPr>
            <w:r>
              <w:t xml:space="preserve">RF-21</w:t>
            </w:r>
          </w:p>
        </w:tc>
        <w:tc>
          <w:tcPr/>
          <w:p>
            <w:pPr>
              <w:pStyle w:val="Compact"/>
            </w:pPr>
            <w:r>
              <w:t xml:space="preserve">Enviar desde el domicilio la cotización definitiva con una fotografía del problema: mantener el estimado o ajustarlo con motivo, incluidos los materiales previstos.</w:t>
            </w:r>
          </w:p>
        </w:tc>
        <w:tc>
          <w:tcPr/>
          <w:p>
            <w:pPr>
              <w:pStyle w:val="Compact"/>
            </w:pPr>
            <w:r>
              <w:t xml:space="preserve">MVP</w:t>
            </w:r>
          </w:p>
        </w:tc>
      </w:tr>
      <w:tr>
        <w:tc>
          <w:tcPr/>
          <w:p>
            <w:pPr>
              <w:pStyle w:val="Compact"/>
            </w:pPr>
            <w:r>
              <w:t xml:space="preserve">RF-22</w:t>
            </w:r>
          </w:p>
        </w:tc>
        <w:tc>
          <w:tcPr/>
          <w:p>
            <w:pPr>
              <w:pStyle w:val="Compact"/>
            </w:pPr>
            <w:r>
              <w:t xml:space="preserve">Aprobar o rechazar la cotización dentro de la app.</w:t>
            </w:r>
          </w:p>
        </w:tc>
        <w:tc>
          <w:tcPr/>
          <w:p>
            <w:pPr>
              <w:pStyle w:val="Compact"/>
            </w:pPr>
            <w:r>
              <w:t xml:space="preserve">MVP</w:t>
            </w:r>
          </w:p>
        </w:tc>
      </w:tr>
      <w:tr>
        <w:tc>
          <w:tcPr/>
          <w:p>
            <w:pPr>
              <w:pStyle w:val="Compact"/>
            </w:pPr>
            <w:r>
              <w:t xml:space="preserve">RF-23</w:t>
            </w:r>
          </w:p>
        </w:tc>
        <w:tc>
          <w:tcPr/>
          <w:p>
            <w:pPr>
              <w:pStyle w:val="Compact"/>
            </w:pPr>
            <w:r>
              <w:t xml:space="preserve">Declarar un gasto imprevisto durante la ejecución, con concepto, monto y comprobante, para que el cliente lo apruebe o rechace.</w:t>
            </w:r>
          </w:p>
        </w:tc>
        <w:tc>
          <w:tcPr/>
          <w:p>
            <w:pPr>
              <w:pStyle w:val="Compact"/>
            </w:pPr>
            <w:r>
              <w:t xml:space="preserve">MVP</w:t>
            </w:r>
          </w:p>
        </w:tc>
      </w:tr>
      <w:tr>
        <w:tc>
          <w:tcPr/>
          <w:p>
            <w:pPr>
              <w:pStyle w:val="Compact"/>
            </w:pPr>
            <w:r>
              <w:t xml:space="preserve">RF-24</w:t>
            </w:r>
          </w:p>
        </w:tc>
        <w:tc>
          <w:tcPr/>
          <w:p>
            <w:pPr>
              <w:pStyle w:val="Compact"/>
            </w:pPr>
            <w:r>
              <w:t xml:space="preserve">Declarar que el trabajo supera la capacidad del maestro y cancelar sin cobro, ofreciendo al cliente volver a publicar con el diagnóstico adjunto.</w:t>
            </w:r>
          </w:p>
        </w:tc>
        <w:tc>
          <w:tcPr/>
          <w:p>
            <w:pPr>
              <w:pStyle w:val="Compact"/>
            </w:pPr>
            <w:r>
              <w:t xml:space="preserve">MVP</w:t>
            </w:r>
          </w:p>
        </w:tc>
      </w:tr>
    </w:tbl>
    <w:p>
      <w:pPr>
        <w:pStyle w:val="BodyText"/>
      </w:pPr>
      <w:r>
        <w:rPr>
          <w:b/>
          <w:bCs/>
        </w:rPr>
        <w:t xml:space="preserve">Precisiones.</w:t>
      </w:r>
      <w:r>
        <w:t xml:space="preserve"> </w:t>
      </w:r>
      <w:r>
        <w:t xml:space="preserve">En RF-21, el servidor recalcula y muestra al cliente el monto anterior, el nuevo y la diferencia. Aplica a los tres oficios. En RF-22, la aprobación dispara el cobro único y autoriza el inicio; sin aprobación el trabajo no puede comenzar, haya o no cambio de monto. En RF-23, lo aprobado se cobra al cierre en un cargo directo sin custodia, íntegro para el maestro y sin comisión; lo rechazado no se cobra.</w:t>
      </w:r>
    </w:p>
    <w:bookmarkEnd w:id="30"/>
    <w:bookmarkStart w:id="31" w:name="pago-en-custodia-y-cierre-con-código"/>
    <w:p>
      <w:pPr>
        <w:pStyle w:val="Heading2"/>
      </w:pPr>
      <w:r>
        <w:t xml:space="preserve">4.7 Pago en custodia y cierre con código</w:t>
      </w:r>
    </w:p>
    <w:p>
      <w:pPr>
        <w:pStyle w:val="FirstParagraph"/>
      </w:pPr>
      <w:r>
        <w:t xml:space="preserve">Hay un solo cobro en custodia por servicio, al aceptar el monto cotizado en terreno, y el dinero se libera solo con un cierre válido.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Código</w:t>
            </w:r>
          </w:p>
        </w:tc>
        <w:tc>
          <w:tcPr/>
          <w:p>
            <w:pPr>
              <w:pStyle w:val="Compact"/>
            </w:pPr>
            <w:r>
              <w:rPr>
                <w:b/>
                <w:bCs/>
              </w:rPr>
              <w:t xml:space="preserve">El sistema permite…</w:t>
            </w:r>
          </w:p>
        </w:tc>
        <w:tc>
          <w:tcPr/>
          <w:p>
            <w:pPr>
              <w:pStyle w:val="Compact"/>
            </w:pPr>
            <w:r>
              <w:rPr>
                <w:b/>
                <w:bCs/>
              </w:rPr>
              <w:t xml:space="preserve">Prioridad</w:t>
            </w:r>
          </w:p>
        </w:tc>
      </w:tr>
      <w:tr>
        <w:tc>
          <w:tcPr/>
          <w:p>
            <w:pPr>
              <w:pStyle w:val="Compact"/>
            </w:pPr>
            <w:r>
              <w:t xml:space="preserve">RF-25</w:t>
            </w:r>
          </w:p>
        </w:tc>
        <w:tc>
          <w:tcPr/>
          <w:p>
            <w:pPr>
              <w:pStyle w:val="Compact"/>
            </w:pPr>
            <w:r>
              <w:t xml:space="preserve">Pagar dentro de la app con la tarjeta registrada, sin salir a un enlace externo.</w:t>
            </w:r>
          </w:p>
        </w:tc>
        <w:tc>
          <w:tcPr/>
          <w:p>
            <w:pPr>
              <w:pStyle w:val="Compact"/>
            </w:pPr>
            <w:r>
              <w:t xml:space="preserve">MVP</w:t>
            </w:r>
          </w:p>
        </w:tc>
      </w:tr>
      <w:tr>
        <w:tc>
          <w:tcPr/>
          <w:p>
            <w:pPr>
              <w:pStyle w:val="Compact"/>
            </w:pPr>
            <w:r>
              <w:t xml:space="preserve">RF-26</w:t>
            </w:r>
          </w:p>
        </w:tc>
        <w:tc>
          <w:tcPr/>
          <w:p>
            <w:pPr>
              <w:pStyle w:val="Compact"/>
            </w:pPr>
            <w:r>
              <w:t xml:space="preserve">Cobrar la tarifa de visita como cargo directo, sin custodia, cuando el cliente no toma el trabajo después del diagnóstico.</w:t>
            </w:r>
          </w:p>
        </w:tc>
        <w:tc>
          <w:tcPr/>
          <w:p>
            <w:pPr>
              <w:pStyle w:val="Compact"/>
            </w:pPr>
            <w:r>
              <w:t xml:space="preserve">MVP</w:t>
            </w:r>
          </w:p>
        </w:tc>
      </w:tr>
      <w:tr>
        <w:tc>
          <w:tcPr/>
          <w:p>
            <w:pPr>
              <w:pStyle w:val="Compact"/>
            </w:pPr>
            <w:r>
              <w:t xml:space="preserve">RF-27</w:t>
            </w:r>
          </w:p>
        </w:tc>
        <w:tc>
          <w:tcPr/>
          <w:p>
            <w:pPr>
              <w:pStyle w:val="Compact"/>
            </w:pPr>
            <w:r>
              <w:t xml:space="preserve">Declarar el término subiendo las fotografías del resultado y completando la lista de verificación del oficio, que es un dato configurable y no una lista fija.</w:t>
            </w:r>
          </w:p>
        </w:tc>
        <w:tc>
          <w:tcPr/>
          <w:p>
            <w:pPr>
              <w:pStyle w:val="Compact"/>
            </w:pPr>
            <w:r>
              <w:t xml:space="preserve">MVP</w:t>
            </w:r>
          </w:p>
        </w:tc>
      </w:tr>
      <w:tr>
        <w:tc>
          <w:tcPr/>
          <w:p>
            <w:pPr>
              <w:pStyle w:val="Compact"/>
            </w:pPr>
            <w:r>
              <w:t xml:space="preserve">RF-28</w:t>
            </w:r>
          </w:p>
        </w:tc>
        <w:tc>
          <w:tcPr/>
          <w:p>
            <w:pPr>
              <w:pStyle w:val="Compact"/>
            </w:pPr>
            <w:r>
              <w:t xml:space="preserve">Generar un código de cierre de tres dígitos, exclusivo del servicio y de un solo uso, visible solo para el cliente cuando acepta el trabajo.</w:t>
            </w:r>
          </w:p>
        </w:tc>
        <w:tc>
          <w:tcPr/>
          <w:p>
            <w:pPr>
              <w:pStyle w:val="Compact"/>
            </w:pPr>
            <w:r>
              <w:t xml:space="preserve">MVP</w:t>
            </w:r>
          </w:p>
        </w:tc>
      </w:tr>
      <w:tr>
        <w:tc>
          <w:tcPr/>
          <w:p>
            <w:pPr>
              <w:pStyle w:val="Compact"/>
            </w:pPr>
            <w:r>
              <w:t xml:space="preserve">RF-29</w:t>
            </w:r>
          </w:p>
        </w:tc>
        <w:tc>
          <w:tcPr/>
          <w:p>
            <w:pPr>
              <w:pStyle w:val="Compact"/>
            </w:pPr>
            <w:r>
              <w:t xml:space="preserve">Liberar el pago al maestro una sola vez, neto de su comisión, tras el cierre válido, y dejar el servicio en el historial de ambas partes con el desglose, cada ajuste aprobado, el total pagado y el comprobante.</w:t>
            </w:r>
          </w:p>
        </w:tc>
        <w:tc>
          <w:tcPr/>
          <w:p>
            <w:pPr>
              <w:pStyle w:val="Compact"/>
            </w:pPr>
            <w:r>
              <w:t xml:space="preserve">MVP</w:t>
            </w:r>
          </w:p>
        </w:tc>
      </w:tr>
    </w:tbl>
    <w:p>
      <w:pPr>
        <w:pStyle w:val="BodyText"/>
      </w:pPr>
      <w:r>
        <w:rPr>
          <w:b/>
          <w:bCs/>
        </w:rPr>
        <w:t xml:space="preserve">Precisiones.</w:t>
      </w:r>
      <w:r>
        <w:t xml:space="preserve"> </w:t>
      </w:r>
      <w:r>
        <w:t xml:space="preserve">En RF-25, el cobro único se ejecuta al aceptar la cotización y los fondos quedan retenidos por la pasarela; un doble toque o un reintento no genera un segundo cargo. En RF-26, el cargo se concilia aparte y el maestro lo recibe íntegro. En RF-28, el maestro ingresa el código en su app; al cuarto intento fallido se bloquea y el caso pasa a la torre de control. El cliente adjunta además una fotografía.</w:t>
      </w:r>
    </w:p>
    <w:bookmarkEnd w:id="31"/>
    <w:bookmarkStart w:id="32" w:name="evaluaciones"/>
    <w:p>
      <w:pPr>
        <w:pStyle w:val="Heading2"/>
      </w:pPr>
      <w:r>
        <w:t xml:space="preserve">4.8 Evaluaciones</w:t>
      </w:r>
    </w:p>
    <w:p>
      <w:pPr>
        <w:pStyle w:val="FirstParagraph"/>
      </w:pPr>
      <w:r>
        <w:t xml:space="preserve">Al completarse el servicio ambas partes se evalúan; las evaluaciones informan, pero no alimentan la difusión de solicitudes ni producen sanciones.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Código</w:t>
            </w:r>
          </w:p>
        </w:tc>
        <w:tc>
          <w:tcPr/>
          <w:p>
            <w:pPr>
              <w:pStyle w:val="Compact"/>
            </w:pPr>
            <w:r>
              <w:rPr>
                <w:b/>
                <w:bCs/>
              </w:rPr>
              <w:t xml:space="preserve">El sistema permite…</w:t>
            </w:r>
          </w:p>
        </w:tc>
        <w:tc>
          <w:tcPr/>
          <w:p>
            <w:pPr>
              <w:pStyle w:val="Compact"/>
            </w:pPr>
            <w:r>
              <w:rPr>
                <w:b/>
                <w:bCs/>
              </w:rPr>
              <w:t xml:space="preserve">Prioridad</w:t>
            </w:r>
          </w:p>
        </w:tc>
      </w:tr>
      <w:tr>
        <w:tc>
          <w:tcPr/>
          <w:p>
            <w:pPr>
              <w:pStyle w:val="Compact"/>
            </w:pPr>
            <w:r>
              <w:t xml:space="preserve">RF-30</w:t>
            </w:r>
          </w:p>
        </w:tc>
        <w:tc>
          <w:tcPr/>
          <w:p>
            <w:pPr>
              <w:pStyle w:val="Compact"/>
            </w:pPr>
            <w:r>
              <w:t xml:space="preserve">Evaluar de 1 a 5 con reseña opcional, en ambos sentidos, solo sobre servicios completados.</w:t>
            </w:r>
          </w:p>
        </w:tc>
        <w:tc>
          <w:tcPr/>
          <w:p>
            <w:pPr>
              <w:pStyle w:val="Compact"/>
            </w:pPr>
            <w:r>
              <w:t xml:space="preserve">MVP</w:t>
            </w:r>
          </w:p>
        </w:tc>
      </w:tr>
      <w:tr>
        <w:tc>
          <w:tcPr/>
          <w:p>
            <w:pPr>
              <w:pStyle w:val="Compact"/>
            </w:pPr>
            <w:r>
              <w:t xml:space="preserve">RF-31</w:t>
            </w:r>
          </w:p>
        </w:tc>
        <w:tc>
          <w:tcPr/>
          <w:p>
            <w:pPr>
              <w:pStyle w:val="Compact"/>
            </w:pPr>
            <w:r>
              <w:t xml:space="preserve">Mostrar el promedio y la cantidad de servicios en el perfil y la oferta del maestro, y la reputación del cliente en la solicitud publicada, sin que ninguna regla de orden, difusión o bloqueo dependa de ellas.</w:t>
            </w:r>
          </w:p>
        </w:tc>
        <w:tc>
          <w:tcPr/>
          <w:p>
            <w:pPr>
              <w:pStyle w:val="Compact"/>
            </w:pPr>
            <w:r>
              <w:t xml:space="preserve">MVP</w:t>
            </w:r>
          </w:p>
        </w:tc>
      </w:tr>
    </w:tbl>
    <w:p>
      <w:pPr>
        <w:pStyle w:val="BodyText"/>
      </w:pPr>
      <w:r>
        <w:rPr>
          <w:b/>
          <w:bCs/>
        </w:rPr>
        <w:t xml:space="preserve">Precisiones.</w:t>
      </w:r>
      <w:r>
        <w:t xml:space="preserve"> </w:t>
      </w:r>
      <w:r>
        <w:t xml:space="preserve">En RF-30, las evaluaciones son a doble ciego con ventana configurable, inmutables una vez publicadas y pasan por un filtro de datos personales.</w:t>
      </w:r>
    </w:p>
    <w:bookmarkEnd w:id="32"/>
    <w:bookmarkStart w:id="33" w:name="reclamos-tuve-un-problema-y-disputas"/>
    <w:p>
      <w:pPr>
        <w:pStyle w:val="Heading2"/>
      </w:pPr>
      <w:r>
        <w:t xml:space="preserve">4.9 Reclamos (</w:t>
      </w:r>
      <w:r>
        <w:t xml:space="preserve">“Tuve un problema”</w:t>
      </w:r>
      <w:r>
        <w:t xml:space="preserve">) y disputas</w:t>
      </w:r>
    </w:p>
    <w:p>
      <w:pPr>
        <w:pStyle w:val="FirstParagraph"/>
      </w:pPr>
      <w:r>
        <w:t xml:space="preserve">El cliente puede reclamar desde que aceptó el monto hasta después del cierre; una disputa abierta congela la liberación del pago hasta que la torre de control resuelve.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Código</w:t>
            </w:r>
          </w:p>
        </w:tc>
        <w:tc>
          <w:tcPr/>
          <w:p>
            <w:pPr>
              <w:pStyle w:val="Compact"/>
            </w:pPr>
            <w:r>
              <w:rPr>
                <w:b/>
                <w:bCs/>
              </w:rPr>
              <w:t xml:space="preserve">El sistema permite…</w:t>
            </w:r>
          </w:p>
        </w:tc>
        <w:tc>
          <w:tcPr/>
          <w:p>
            <w:pPr>
              <w:pStyle w:val="Compact"/>
            </w:pPr>
            <w:r>
              <w:rPr>
                <w:b/>
                <w:bCs/>
              </w:rPr>
              <w:t xml:space="preserve">Prioridad</w:t>
            </w:r>
          </w:p>
        </w:tc>
      </w:tr>
      <w:tr>
        <w:tc>
          <w:tcPr/>
          <w:p>
            <w:pPr>
              <w:pStyle w:val="Compact"/>
            </w:pPr>
            <w:r>
              <w:t xml:space="preserve">RF-32</w:t>
            </w:r>
          </w:p>
        </w:tc>
        <w:tc>
          <w:tcPr/>
          <w:p>
            <w:pPr>
              <w:pStyle w:val="Compact"/>
            </w:pPr>
            <w:r>
              <w:t xml:space="preserve">Abrir una disputa con el botón</w:t>
            </w:r>
            <w:r>
              <w:t xml:space="preserve"> </w:t>
            </w:r>
            <w:r>
              <w:t xml:space="preserve">“Tuve un problema”</w:t>
            </w:r>
            <w:r>
              <w:t xml:space="preserve">, adjuntando descripción y fotografías, desde la aceptación del monto hasta el cierre, y tras el cierre dentro de un plazo configurable.</w:t>
            </w:r>
          </w:p>
        </w:tc>
        <w:tc>
          <w:tcPr/>
          <w:p>
            <w:pPr>
              <w:pStyle w:val="Compact"/>
            </w:pPr>
            <w:r>
              <w:t xml:space="preserve">MVP</w:t>
            </w:r>
          </w:p>
        </w:tc>
      </w:tr>
      <w:tr>
        <w:tc>
          <w:tcPr/>
          <w:p>
            <w:pPr>
              <w:pStyle w:val="Compact"/>
            </w:pPr>
            <w:r>
              <w:t xml:space="preserve">RF-33</w:t>
            </w:r>
          </w:p>
        </w:tc>
        <w:tc>
          <w:tcPr/>
          <w:p>
            <w:pPr>
              <w:pStyle w:val="Compact"/>
            </w:pPr>
            <w:r>
              <w:t xml:space="preserve">Retener el pago mientras la disputa está abierta, crear el caso en la torre de control, notificar a ambas partes cada actualización y permitir al maestro responder con su versión y evidencia.</w:t>
            </w:r>
          </w:p>
        </w:tc>
        <w:tc>
          <w:tcPr/>
          <w:p>
            <w:pPr>
              <w:pStyle w:val="Compact"/>
            </w:pPr>
            <w:r>
              <w:t xml:space="preserve">MVP</w:t>
            </w:r>
          </w:p>
        </w:tc>
      </w:tr>
      <w:tr>
        <w:tc>
          <w:tcPr/>
          <w:p>
            <w:pPr>
              <w:pStyle w:val="Compact"/>
            </w:pPr>
            <w:r>
              <w:t xml:space="preserve">RF-34</w:t>
            </w:r>
          </w:p>
        </w:tc>
        <w:tc>
          <w:tcPr/>
          <w:p>
            <w:pPr>
              <w:pStyle w:val="Compact"/>
            </w:pPr>
            <w:r>
              <w:t xml:space="preserve">Resolver la disputa desde el panel liberando el pago, reembolsando una parte o el total, con reversa proporcional de la comisión, evidencia revisada y auditoría.</w:t>
            </w:r>
          </w:p>
        </w:tc>
        <w:tc>
          <w:tcPr/>
          <w:p>
            <w:pPr>
              <w:pStyle w:val="Compact"/>
            </w:pPr>
            <w:r>
              <w:t xml:space="preserve">MVP</w:t>
            </w:r>
          </w:p>
        </w:tc>
      </w:tr>
    </w:tbl>
    <w:p>
      <w:pPr>
        <w:pStyle w:val="BodyText"/>
      </w:pPr>
      <w:r>
        <w:rPr>
          <w:b/>
          <w:bCs/>
        </w:rPr>
        <w:t xml:space="preserve">Precisiones.</w:t>
      </w:r>
      <w:r>
        <w:t xml:space="preserve"> </w:t>
      </w:r>
      <w:r>
        <w:t xml:space="preserve">En RF-34, si el pago ya se había liberado, la resolución devuelve el dinero por la pasarela.</w:t>
      </w:r>
    </w:p>
    <w:bookmarkEnd w:id="33"/>
    <w:bookmarkStart w:id="34" w:name="mensajería-y-soporte"/>
    <w:p>
      <w:pPr>
        <w:pStyle w:val="Heading2"/>
      </w:pPr>
      <w:r>
        <w:t xml:space="preserve">4.10 Mensajería y soporte</w:t>
      </w:r>
    </w:p>
    <w:p>
      <w:pPr>
        <w:pStyle w:val="FirstParagraph"/>
      </w:pPr>
      <w:r>
        <w:t xml:space="preserve">La coordinación entre cliente y maestro ocurre dentro de la plataforma, sin intercambiar teléfonos, y el soporte escala a una persona cuando hace falta.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Código</w:t>
            </w:r>
          </w:p>
        </w:tc>
        <w:tc>
          <w:tcPr/>
          <w:p>
            <w:pPr>
              <w:pStyle w:val="Compact"/>
            </w:pPr>
            <w:r>
              <w:rPr>
                <w:b/>
                <w:bCs/>
              </w:rPr>
              <w:t xml:space="preserve">El sistema permite…</w:t>
            </w:r>
          </w:p>
        </w:tc>
        <w:tc>
          <w:tcPr/>
          <w:p>
            <w:pPr>
              <w:pStyle w:val="Compact"/>
            </w:pPr>
            <w:r>
              <w:rPr>
                <w:b/>
                <w:bCs/>
              </w:rPr>
              <w:t xml:space="preserve">Prioridad</w:t>
            </w:r>
          </w:p>
        </w:tc>
      </w:tr>
      <w:tr>
        <w:tc>
          <w:tcPr/>
          <w:p>
            <w:pPr>
              <w:pStyle w:val="Compact"/>
            </w:pPr>
            <w:r>
              <w:t xml:space="preserve">RF-35</w:t>
            </w:r>
          </w:p>
        </w:tc>
        <w:tc>
          <w:tcPr/>
          <w:p>
            <w:pPr>
              <w:pStyle w:val="Compact"/>
            </w:pPr>
            <w:r>
              <w:t xml:space="preserve">Enviar y recibir mensajes asociados a un servicio entre cliente y maestro, sin exponer teléfono ni correo personal.</w:t>
            </w:r>
          </w:p>
        </w:tc>
        <w:tc>
          <w:tcPr/>
          <w:p>
            <w:pPr>
              <w:pStyle w:val="Compact"/>
            </w:pPr>
            <w:r>
              <w:t xml:space="preserve">MVP</w:t>
            </w:r>
          </w:p>
        </w:tc>
      </w:tr>
      <w:tr>
        <w:tc>
          <w:tcPr/>
          <w:p>
            <w:pPr>
              <w:pStyle w:val="Compact"/>
            </w:pPr>
            <w:r>
              <w:t xml:space="preserve">RF-36</w:t>
            </w:r>
          </w:p>
        </w:tc>
        <w:tc>
          <w:tcPr/>
          <w:p>
            <w:pPr>
              <w:pStyle w:val="Compact"/>
            </w:pPr>
            <w:r>
              <w:t xml:space="preserve">Abrir el soporte desde el inicio en tres niveles: respuestas guiadas, un asistente automatizado que consulta solo lo que la propia cuenta puede ver y nunca promete montos, y la derivación a una persona con caso en la torre de control.</w:t>
            </w:r>
          </w:p>
        </w:tc>
        <w:tc>
          <w:tcPr/>
          <w:p>
            <w:pPr>
              <w:pStyle w:val="Compact"/>
            </w:pPr>
            <w:r>
              <w:t xml:space="preserve">MVP</w:t>
            </w:r>
          </w:p>
        </w:tc>
      </w:tr>
    </w:tbl>
    <w:p>
      <w:pPr>
        <w:pStyle w:val="BodyText"/>
      </w:pPr>
      <w:r>
        <w:rPr>
          <w:b/>
          <w:bCs/>
        </w:rPr>
        <w:t xml:space="preserve">Precisiones.</w:t>
      </w:r>
      <w:r>
        <w:t xml:space="preserve"> </w:t>
      </w:r>
      <w:r>
        <w:t xml:space="preserve">En RF-35, la mensajería no es un chat avanzado en tiempo real.</w:t>
      </w:r>
    </w:p>
    <w:bookmarkEnd w:id="34"/>
    <w:bookmarkStart w:id="35" w:name="verificación-de-maestros-y-sello-relwo"/>
    <w:p>
      <w:pPr>
        <w:pStyle w:val="Heading2"/>
      </w:pPr>
      <w:r>
        <w:t xml:space="preserve">4.11 Verificación de maestros y Sello RELWO</w:t>
      </w:r>
    </w:p>
    <w:p>
      <w:pPr>
        <w:pStyle w:val="FirstParagraph"/>
      </w:pPr>
      <w:r>
        <w:t xml:space="preserve">La confianza se construye en tres capas, identidad, antecedentes y referencias, y el Sello RELWO muestra que las tres están vigentes a la vez.</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Código</w:t>
            </w:r>
          </w:p>
        </w:tc>
        <w:tc>
          <w:tcPr/>
          <w:p>
            <w:pPr>
              <w:pStyle w:val="Compact"/>
            </w:pPr>
            <w:r>
              <w:rPr>
                <w:b/>
                <w:bCs/>
              </w:rPr>
              <w:t xml:space="preserve">El sistema permite…</w:t>
            </w:r>
          </w:p>
        </w:tc>
        <w:tc>
          <w:tcPr/>
          <w:p>
            <w:pPr>
              <w:pStyle w:val="Compact"/>
            </w:pPr>
            <w:r>
              <w:rPr>
                <w:b/>
                <w:bCs/>
              </w:rPr>
              <w:t xml:space="preserve">Prioridad</w:t>
            </w:r>
          </w:p>
        </w:tc>
      </w:tr>
      <w:tr>
        <w:tc>
          <w:tcPr/>
          <w:p>
            <w:pPr>
              <w:pStyle w:val="Compact"/>
            </w:pPr>
            <w:r>
              <w:t xml:space="preserve">RF-37</w:t>
            </w:r>
          </w:p>
        </w:tc>
        <w:tc>
          <w:tcPr/>
          <w:p>
            <w:pPr>
              <w:pStyle w:val="Compact"/>
            </w:pPr>
            <w:r>
              <w:t xml:space="preserve">Completar el perfil profesional del maestro: oficios, años de experiencia, fotografía, comunas que atiende (varias, no necesariamente la de residencia) y horarios de alerta, administrados por el propio maestro desde la app.</w:t>
            </w:r>
          </w:p>
        </w:tc>
        <w:tc>
          <w:tcPr/>
          <w:p>
            <w:pPr>
              <w:pStyle w:val="Compact"/>
            </w:pPr>
            <w:r>
              <w:t xml:space="preserve">MVP</w:t>
            </w:r>
          </w:p>
        </w:tc>
      </w:tr>
      <w:tr>
        <w:tc>
          <w:tcPr/>
          <w:p>
            <w:pPr>
              <w:pStyle w:val="Compact"/>
            </w:pPr>
            <w:r>
              <w:t xml:space="preserve">RF-38</w:t>
            </w:r>
          </w:p>
        </w:tc>
        <w:tc>
          <w:tcPr/>
          <w:p>
            <w:pPr>
              <w:pStyle w:val="Compact"/>
            </w:pPr>
            <w:r>
              <w:t xml:space="preserve">Subir documento de identidad, certificado de antecedentes, referencias laborales y, cuando corresponde, licencia o certificaciones del oficio, a un almacenamiento privado con acceso temporal.</w:t>
            </w:r>
          </w:p>
        </w:tc>
        <w:tc>
          <w:tcPr/>
          <w:p>
            <w:pPr>
              <w:pStyle w:val="Compact"/>
            </w:pPr>
            <w:r>
              <w:t xml:space="preserve">MVP</w:t>
            </w:r>
          </w:p>
        </w:tc>
      </w:tr>
      <w:tr>
        <w:tc>
          <w:tcPr/>
          <w:p>
            <w:pPr>
              <w:pStyle w:val="Compact"/>
            </w:pPr>
            <w:r>
              <w:t xml:space="preserve">RF-39</w:t>
            </w:r>
          </w:p>
        </w:tc>
        <w:tc>
          <w:tcPr/>
          <w:p>
            <w:pPr>
              <w:pStyle w:val="Compact"/>
            </w:pPr>
            <w:r>
              <w:t xml:space="preserve">Verificar la identidad con tres caminos intercambiables (resolución manual desde el panel, proveedor externo o doble de prueba) y registrar el resultado (pendiente, verificada, ilegible o rechazada) con fecha y fuente.</w:t>
            </w:r>
          </w:p>
        </w:tc>
        <w:tc>
          <w:tcPr/>
          <w:p>
            <w:pPr>
              <w:pStyle w:val="Compact"/>
            </w:pPr>
            <w:r>
              <w:t xml:space="preserve">MVP</w:t>
            </w:r>
          </w:p>
        </w:tc>
      </w:tr>
      <w:tr>
        <w:tc>
          <w:tcPr/>
          <w:p>
            <w:pPr>
              <w:pStyle w:val="Compact"/>
            </w:pPr>
            <w:r>
              <w:t xml:space="preserve">RF-40</w:t>
            </w:r>
          </w:p>
        </w:tc>
        <w:tc>
          <w:tcPr/>
          <w:p>
            <w:pPr>
              <w:pStyle w:val="Compact"/>
            </w:pPr>
            <w:r>
              <w:t xml:space="preserve">Mostrar el Sello RELWO en el perfil y en la tarjeta de oferta solo cuando identidad, antecedentes y referencias están vigentes simultáneamente, con la fecha y el estado de cada capa visibles.</w:t>
            </w:r>
          </w:p>
        </w:tc>
        <w:tc>
          <w:tcPr/>
          <w:p>
            <w:pPr>
              <w:pStyle w:val="Compact"/>
            </w:pPr>
            <w:r>
              <w:t xml:space="preserve">MVP</w:t>
            </w:r>
          </w:p>
        </w:tc>
      </w:tr>
      <w:tr>
        <w:tc>
          <w:tcPr/>
          <w:p>
            <w:pPr>
              <w:pStyle w:val="Compact"/>
            </w:pPr>
            <w:r>
              <w:t xml:space="preserve">RF-41</w:t>
            </w:r>
          </w:p>
        </w:tc>
        <w:tc>
          <w:tcPr/>
          <w:p>
            <w:pPr>
              <w:pStyle w:val="Compact"/>
            </w:pPr>
            <w:r>
              <w:t xml:space="preserve">Aplicar un bloqueo temporal, simétrico para clientes y maestros, por incumplimientos objetivos posteriores a la elección (cancelación, inasistencia, retención del código sin disputa) al superar un umbral configurable, con aviso y levantamiento automático.</w:t>
            </w:r>
          </w:p>
        </w:tc>
        <w:tc>
          <w:tcPr/>
          <w:p>
            <w:pPr>
              <w:pStyle w:val="Compact"/>
            </w:pPr>
            <w:r>
              <w:t xml:space="preserve">Posterior</w:t>
            </w:r>
          </w:p>
        </w:tc>
      </w:tr>
    </w:tbl>
    <w:p>
      <w:pPr>
        <w:pStyle w:val="BodyText"/>
      </w:pPr>
      <w:r>
        <w:rPr>
          <w:b/>
          <w:bCs/>
        </w:rPr>
        <w:t xml:space="preserve">Precisiones.</w:t>
      </w:r>
      <w:r>
        <w:t xml:space="preserve"> </w:t>
      </w:r>
      <w:r>
        <w:t xml:space="preserve">En RF-41, el bloqueo nunca se aplica por calificación ni por no ofertar.</w:t>
      </w:r>
    </w:p>
    <w:bookmarkEnd w:id="35"/>
    <w:bookmarkStart w:id="36" w:name="notificaciones"/>
    <w:p>
      <w:pPr>
        <w:pStyle w:val="Heading2"/>
      </w:pPr>
      <w:r>
        <w:t xml:space="preserve">4.12 Notificaciones</w:t>
      </w:r>
    </w:p>
    <w:p>
      <w:pPr>
        <w:pStyle w:val="FirstParagraph"/>
      </w:pPr>
      <w:r>
        <w:t xml:space="preserve">Cada cambio relevante del servicio genera un aviso, y los maestros reciben además las alertas de nuevo trabajo que calzan con su perfil.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Código</w:t>
            </w:r>
          </w:p>
        </w:tc>
        <w:tc>
          <w:tcPr/>
          <w:p>
            <w:pPr>
              <w:pStyle w:val="Compact"/>
            </w:pPr>
            <w:r>
              <w:rPr>
                <w:b/>
                <w:bCs/>
              </w:rPr>
              <w:t xml:space="preserve">El sistema permite…</w:t>
            </w:r>
          </w:p>
        </w:tc>
        <w:tc>
          <w:tcPr/>
          <w:p>
            <w:pPr>
              <w:pStyle w:val="Compact"/>
            </w:pPr>
            <w:r>
              <w:rPr>
                <w:b/>
                <w:bCs/>
              </w:rPr>
              <w:t xml:space="preserve">Prioridad</w:t>
            </w:r>
          </w:p>
        </w:tc>
      </w:tr>
      <w:tr>
        <w:tc>
          <w:tcPr/>
          <w:p>
            <w:pPr>
              <w:pStyle w:val="Compact"/>
            </w:pPr>
            <w:r>
              <w:t xml:space="preserve">RF-42</w:t>
            </w:r>
          </w:p>
        </w:tc>
        <w:tc>
          <w:tcPr/>
          <w:p>
            <w:pPr>
              <w:pStyle w:val="Compact"/>
            </w:pPr>
            <w:r>
              <w:t xml:space="preserve">Notificar por push los recordatorios, los cambios de estado, la solicitud de aprobación en terreno, el cierre y cada actualización de una disputa, con respaldo por correo o mensaje de texto para los avisos críticos.</w:t>
            </w:r>
          </w:p>
        </w:tc>
        <w:tc>
          <w:tcPr/>
          <w:p>
            <w:pPr>
              <w:pStyle w:val="Compact"/>
            </w:pPr>
            <w:r>
              <w:t xml:space="preserve">MVP</w:t>
            </w:r>
          </w:p>
        </w:tc>
      </w:tr>
      <w:tr>
        <w:tc>
          <w:tcPr/>
          <w:p>
            <w:pPr>
              <w:pStyle w:val="Compact"/>
            </w:pPr>
            <w:r>
              <w:t xml:space="preserve">RF-43</w:t>
            </w:r>
          </w:p>
        </w:tc>
        <w:tc>
          <w:tcPr/>
          <w:p>
            <w:pPr>
              <w:pStyle w:val="Compact"/>
            </w:pPr>
            <w:r>
              <w:t xml:space="preserve">Alertar al maestro de cada solicitud publicada que calza con su perfil dentro de la app y, durante el piloto, por un canal de mensajería complementario.</w:t>
            </w:r>
          </w:p>
        </w:tc>
        <w:tc>
          <w:tcPr/>
          <w:p>
            <w:pPr>
              <w:pStyle w:val="Compact"/>
            </w:pPr>
            <w:r>
              <w:t xml:space="preserve">MVP</w:t>
            </w:r>
          </w:p>
        </w:tc>
      </w:tr>
    </w:tbl>
    <w:p>
      <w:pPr>
        <w:pStyle w:val="BodyText"/>
      </w:pPr>
      <w:r>
        <w:rPr>
          <w:b/>
          <w:bCs/>
        </w:rPr>
        <w:t xml:space="preserve">Precisiones.</w:t>
      </w:r>
      <w:r>
        <w:t xml:space="preserve"> </w:t>
      </w:r>
      <w:r>
        <w:t xml:space="preserve">En RF-43, ignorar una alerta no tiene consecuencias.</w:t>
      </w:r>
    </w:p>
    <w:bookmarkEnd w:id="36"/>
    <w:bookmarkStart w:id="37" w:name="torre-de-control"/>
    <w:p>
      <w:pPr>
        <w:pStyle w:val="Heading2"/>
      </w:pPr>
      <w:r>
        <w:t xml:space="preserve">4.13 Torre de control</w:t>
      </w:r>
    </w:p>
    <w:p>
      <w:pPr>
        <w:pStyle w:val="FirstParagraph"/>
      </w:pPr>
      <w:r>
        <w:t xml:space="preserve">El panel web es la herramienta de operación del cliente. Todo parámetro del negocio se edita desde aquí sin publicar una versión nueva de la app, y toda acción sensible deja huella.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Código</w:t>
            </w:r>
          </w:p>
        </w:tc>
        <w:tc>
          <w:tcPr/>
          <w:p>
            <w:pPr>
              <w:pStyle w:val="Compact"/>
            </w:pPr>
            <w:r>
              <w:rPr>
                <w:b/>
                <w:bCs/>
              </w:rPr>
              <w:t xml:space="preserve">El sistema permite…</w:t>
            </w:r>
          </w:p>
        </w:tc>
        <w:tc>
          <w:tcPr/>
          <w:p>
            <w:pPr>
              <w:pStyle w:val="Compact"/>
            </w:pPr>
            <w:r>
              <w:rPr>
                <w:b/>
                <w:bCs/>
              </w:rPr>
              <w:t xml:space="preserve">Prioridad</w:t>
            </w:r>
          </w:p>
        </w:tc>
      </w:tr>
      <w:tr>
        <w:tc>
          <w:tcPr/>
          <w:p>
            <w:pPr>
              <w:pStyle w:val="Compact"/>
            </w:pPr>
            <w:r>
              <w:t xml:space="preserve">RF-44</w:t>
            </w:r>
          </w:p>
        </w:tc>
        <w:tc>
          <w:tcPr/>
          <w:p>
            <w:pPr>
              <w:pStyle w:val="Compact"/>
            </w:pPr>
            <w:r>
              <w:t xml:space="preserve">Iniciar sesión en el panel con credenciales independientes de la app y control de acceso por rol, y crear otras cuentas administradoras desde el propio panel con auditoría.</w:t>
            </w:r>
          </w:p>
        </w:tc>
        <w:tc>
          <w:tcPr/>
          <w:p>
            <w:pPr>
              <w:pStyle w:val="Compact"/>
            </w:pPr>
            <w:r>
              <w:t xml:space="preserve">MVP</w:t>
            </w:r>
          </w:p>
        </w:tc>
      </w:tr>
      <w:tr>
        <w:tc>
          <w:tcPr/>
          <w:p>
            <w:pPr>
              <w:pStyle w:val="Compact"/>
            </w:pPr>
            <w:r>
              <w:t xml:space="preserve">RF-45</w:t>
            </w:r>
          </w:p>
        </w:tc>
        <w:tc>
          <w:tcPr/>
          <w:p>
            <w:pPr>
              <w:pStyle w:val="Compact"/>
            </w:pPr>
            <w:r>
              <w:t xml:space="preserve">Revisar las solicitudes de registro de clientes y de maestros en bandejas separadas, ordenadas por antigüedad, y aprobarlas o rechazarlas.</w:t>
            </w:r>
          </w:p>
        </w:tc>
        <w:tc>
          <w:tcPr/>
          <w:p>
            <w:pPr>
              <w:pStyle w:val="Compact"/>
            </w:pPr>
            <w:r>
              <w:t xml:space="preserve">MVP</w:t>
            </w:r>
          </w:p>
        </w:tc>
      </w:tr>
      <w:tr>
        <w:tc>
          <w:tcPr/>
          <w:p>
            <w:pPr>
              <w:pStyle w:val="Compact"/>
            </w:pPr>
            <w:r>
              <w:t xml:space="preserve">RF-46</w:t>
            </w:r>
          </w:p>
        </w:tc>
        <w:tc>
          <w:tcPr/>
          <w:p>
            <w:pPr>
              <w:pStyle w:val="Compact"/>
            </w:pPr>
            <w:r>
              <w:t xml:space="preserve">Gestionar maestros: revisar documentos, registrar la verificación de identidad, antecedentes y referencias con fecha, ver el resultado de la consulta automática de la licencia habilitante en el registro público, revisar la cobertura declarada y suspender o reactivar cuentas.</w:t>
            </w:r>
          </w:p>
        </w:tc>
        <w:tc>
          <w:tcPr/>
          <w:p>
            <w:pPr>
              <w:pStyle w:val="Compact"/>
            </w:pPr>
            <w:r>
              <w:t xml:space="preserve">MVP</w:t>
            </w:r>
          </w:p>
        </w:tc>
      </w:tr>
      <w:tr>
        <w:tc>
          <w:tcPr/>
          <w:p>
            <w:pPr>
              <w:pStyle w:val="Compact"/>
            </w:pPr>
            <w:r>
              <w:t xml:space="preserve">RF-47</w:t>
            </w:r>
          </w:p>
        </w:tc>
        <w:tc>
          <w:tcPr/>
          <w:p>
            <w:pPr>
              <w:pStyle w:val="Compact"/>
            </w:pPr>
            <w:r>
              <w:t xml:space="preserve">Gestionar los casos de disputa y de incumplimiento: ver evidencia y mensajes, resolver con efecto financiero y retener o liberar manualmente un pago en custodia.</w:t>
            </w:r>
          </w:p>
        </w:tc>
        <w:tc>
          <w:tcPr/>
          <w:p>
            <w:pPr>
              <w:pStyle w:val="Compact"/>
            </w:pPr>
            <w:r>
              <w:t xml:space="preserve">MVP</w:t>
            </w:r>
          </w:p>
        </w:tc>
      </w:tr>
      <w:tr>
        <w:tc>
          <w:tcPr/>
          <w:p>
            <w:pPr>
              <w:pStyle w:val="Compact"/>
            </w:pPr>
            <w:r>
              <w:t xml:space="preserve">RF-48</w:t>
            </w:r>
          </w:p>
        </w:tc>
        <w:tc>
          <w:tcPr/>
          <w:p>
            <w:pPr>
              <w:pStyle w:val="Compact"/>
            </w:pPr>
            <w:r>
              <w:t xml:space="preserve">Configurar los parámetros del negocio: comisiones de cada lado con habilitación independiente, recargo por urgencia, topes de visita, plazos de publicación, radio de llegada, umbral de activación de comunas, plazo de disputa, comunas y oficios activos.</w:t>
            </w:r>
          </w:p>
        </w:tc>
        <w:tc>
          <w:tcPr/>
          <w:p>
            <w:pPr>
              <w:pStyle w:val="Compact"/>
            </w:pPr>
            <w:r>
              <w:t xml:space="preserve">MVP</w:t>
            </w:r>
          </w:p>
        </w:tc>
      </w:tr>
      <w:tr>
        <w:tc>
          <w:tcPr/>
          <w:p>
            <w:pPr>
              <w:pStyle w:val="Compact"/>
            </w:pPr>
            <w:r>
              <w:t xml:space="preserve">RF-49</w:t>
            </w:r>
          </w:p>
        </w:tc>
        <w:tc>
          <w:tcPr/>
          <w:p>
            <w:pPr>
              <w:pStyle w:val="Compact"/>
            </w:pPr>
            <w:r>
              <w:t xml:space="preserve">Consultar el registro de auditoría de acciones sensibles (aprobaciones, rechazos, retenciones y liberaciones, resoluciones, cambios de parámetros, activaciones de comunas) con actor, fecha y motivo.</w:t>
            </w:r>
          </w:p>
        </w:tc>
        <w:tc>
          <w:tcPr/>
          <w:p>
            <w:pPr>
              <w:pStyle w:val="Compact"/>
            </w:pPr>
            <w:r>
              <w:t xml:space="preserve">MVP</w:t>
            </w:r>
          </w:p>
        </w:tc>
      </w:tr>
      <w:tr>
        <w:tc>
          <w:tcPr/>
          <w:p>
            <w:pPr>
              <w:pStyle w:val="Compact"/>
            </w:pPr>
            <w:r>
              <w:t xml:space="preserve">RF-50</w:t>
            </w:r>
          </w:p>
        </w:tc>
        <w:tc>
          <w:tcPr/>
          <w:p>
            <w:pPr>
              <w:pStyle w:val="Compact"/>
            </w:pPr>
            <w:r>
              <w:t xml:space="preserve">Consultar un tablero de métricas (solicitudes, conversión, servicios completados, disputas y demanda futura por comuna) y exportar a planilla filtrable los eventos del flujo central, sin ayuda del equipo.</w:t>
            </w:r>
          </w:p>
        </w:tc>
        <w:tc>
          <w:tcPr/>
          <w:p>
            <w:pPr>
              <w:pStyle w:val="Compact"/>
            </w:pPr>
            <w:r>
              <w:t xml:space="preserve">MVP</w:t>
            </w:r>
          </w:p>
        </w:tc>
      </w:tr>
      <w:tr>
        <w:tc>
          <w:tcPr/>
          <w:p>
            <w:pPr>
              <w:pStyle w:val="Compact"/>
            </w:pPr>
            <w:r>
              <w:t xml:space="preserve">RF-51</w:t>
            </w:r>
          </w:p>
        </w:tc>
        <w:tc>
          <w:tcPr/>
          <w:p>
            <w:pPr>
              <w:pStyle w:val="Compact"/>
            </w:pPr>
            <w:r>
              <w:t xml:space="preserve">Consultar un tablero de salud técnica con el resultado de la conciliación diaria y el estado del servidor y de la pasarela, con alerta automática ante una caída.</w:t>
            </w:r>
          </w:p>
        </w:tc>
        <w:tc>
          <w:tcPr/>
          <w:p>
            <w:pPr>
              <w:pStyle w:val="Compact"/>
            </w:pPr>
            <w:r>
              <w:t xml:space="preserve">MVP</w:t>
            </w:r>
          </w:p>
        </w:tc>
      </w:tr>
    </w:tbl>
    <w:p>
      <w:pPr>
        <w:pStyle w:val="BodyText"/>
      </w:pPr>
      <w:r>
        <w:rPr>
          <w:b/>
          <w:bCs/>
        </w:rPr>
        <w:t xml:space="preserve">Precisiones.</w:t>
      </w:r>
      <w:r>
        <w:t xml:space="preserve"> </w:t>
      </w:r>
      <w:r>
        <w:t xml:space="preserve">En RF-45, el rechazo exige motivo. La aprobación automática existe solo para pruebas y permanece apagada en producción. En RF-48, cada cambio rige en el siguiente cálculo.</w:t>
      </w:r>
    </w:p>
    <w:bookmarkEnd w:id="37"/>
    <w:bookmarkEnd w:id="38"/>
    <w:bookmarkStart w:id="42" w:name="reglas-de-negocio"/>
    <w:p>
      <w:pPr>
        <w:pStyle w:val="Heading1"/>
      </w:pPr>
      <w:r>
        <w:t xml:space="preserve">5. Reglas de negocio</w:t>
      </w:r>
    </w:p>
    <w:p>
      <w:pPr>
        <w:pStyle w:val="FirstParagraph"/>
      </w:pPr>
      <w:r>
        <w:t xml:space="preserve">Las reglas de negocio gobiernan el comportamiento del sistema con independencia de la pantalla desde la que se actúe, y se verifican con pruebas automáticas.</w:t>
      </w:r>
    </w:p>
    <w:bookmarkStart w:id="39" w:name="montos-y-cobros"/>
    <w:p>
      <w:pPr>
        <w:pStyle w:val="Heading3"/>
      </w:pPr>
      <w:r>
        <w:t xml:space="preserve">Montos y cobros</w:t>
      </w:r>
    </w:p>
    <w:p>
      <w:pPr>
        <w:pStyle w:val="FirstParagraph"/>
      </w:pPr>
      <w:r>
        <w:rPr>
          <w:b/>
          <w:bCs/>
        </w:rPr>
        <w:t xml:space="preserve">Todo monto lo calcula el servidor.</w:t>
      </w:r>
      <w:r>
        <w:t xml:space="preserve"> </w:t>
      </w:r>
      <w:r>
        <w:t xml:space="preserve">La app solo envía las dos cifras que declara el maestro; recargos, comisiones, totales y diferencias los calcula el servidor, con desglose y vigencia. En consecuencia, ningún total ni porcentaje viaja desde la app, y si una pantalla lo enviara, el servidor lo ignora.</w:t>
      </w:r>
    </w:p>
    <w:p>
      <w:pPr>
        <w:pStyle w:val="BodyText"/>
      </w:pPr>
      <w:r>
        <w:rPr>
          <w:b/>
          <w:bCs/>
        </w:rPr>
        <w:t xml:space="preserve">Elegir una oferta no cobra.</w:t>
      </w:r>
      <w:r>
        <w:t xml:space="preserve"> </w:t>
      </w:r>
      <w:r>
        <w:t xml:space="preserve">La elección agenda el servicio y es exclusiva e idempotente, pero no ejecuta ningún cargo. El cliente puede cancelar sin costo hasta</w:t>
      </w:r>
      <w:r>
        <w:t xml:space="preserve"> </w:t>
      </w:r>
      <w:r>
        <w:t xml:space="preserve">“voy en camino”</w:t>
      </w:r>
      <w:r>
        <w:t xml:space="preserve"> </w:t>
      </w:r>
      <w:r>
        <w:t xml:space="preserve">y no hay reembolso que gestionar en esa etapa.</w:t>
      </w:r>
    </w:p>
    <w:p>
      <w:pPr>
        <w:pStyle w:val="BodyText"/>
      </w:pPr>
      <w:r>
        <w:rPr>
          <w:b/>
          <w:bCs/>
        </w:rPr>
        <w:t xml:space="preserve">Un solo cobro al aprobar el monto cotizado en terreno.</w:t>
      </w:r>
      <w:r>
        <w:t xml:space="preserve"> </w:t>
      </w:r>
      <w:r>
        <w:t xml:space="preserve">El cargo en custodia ocurre cuando el cliente acepta la cotización definitiva en el domicilio, y los materiales previstos van dentro de ese monto. Hay un solo cargo en custodia por servicio; los únicos cargos adicionales son el de visita (si no se toma el trabajo) y el de gastos aprobados (al cierre).</w:t>
      </w:r>
    </w:p>
    <w:p>
      <w:pPr>
        <w:pStyle w:val="BodyText"/>
      </w:pPr>
      <w:r>
        <w:rPr>
          <w:b/>
          <w:bCs/>
        </w:rPr>
        <w:t xml:space="preserve">Comisión configurable a ambos lados.</w:t>
      </w:r>
      <w:r>
        <w:t xml:space="preserve"> </w:t>
      </w:r>
      <w:r>
        <w:t xml:space="preserve">El cliente paga el valor más un porcentaje y el maestro recibe el valor menos otro. Ambos son independientes y se habilitan o deshabilitan por separado desde el panel. Los valores iniciales son 7,5 % al maestro, y 7,5 % al cliente en servicio programado y 11 % en urgente. Un cambio rige en el siguiente cálculo sin publicar una versión nueva de la app, y el desglose muestra cada comisión por separado.</w:t>
      </w:r>
    </w:p>
    <w:bookmarkEnd w:id="39"/>
    <w:bookmarkStart w:id="40" w:name="custodia-cierre-y-disputas"/>
    <w:p>
      <w:pPr>
        <w:pStyle w:val="Heading3"/>
      </w:pPr>
      <w:r>
        <w:t xml:space="preserve">Custodia, cierre y disputas</w:t>
      </w:r>
    </w:p>
    <w:p>
      <w:pPr>
        <w:pStyle w:val="FirstParagraph"/>
      </w:pPr>
      <w:r>
        <w:rPr>
          <w:b/>
          <w:bCs/>
        </w:rPr>
        <w:t xml:space="preserve">Pago retenido hasta el cierre válido.</w:t>
      </w:r>
      <w:r>
        <w:t xml:space="preserve"> </w:t>
      </w:r>
      <w:r>
        <w:t xml:space="preserve">Los fondos permanecen en la pasarela hasta que el maestro ingresa el código correcto con las fotografías de término subidas, o hasta una resolución de disputa. Ninguna ruta libera el pago sin código válido o sin resolución de la torre de control.</w:t>
      </w:r>
    </w:p>
    <w:p>
      <w:pPr>
        <w:pStyle w:val="BodyText"/>
      </w:pPr>
      <w:r>
        <w:rPr>
          <w:b/>
          <w:bCs/>
        </w:rPr>
        <w:t xml:space="preserve">Código de 3 dígitos con 3 intentos.</w:t>
      </w:r>
      <w:r>
        <w:t xml:space="preserve"> </w:t>
      </w:r>
      <w:r>
        <w:t xml:space="preserve">El código pertenece al cliente, es exclusivo del servicio, de un solo uso y no se muestra al maestro antes del cierre. Al cuarto intento fallido el código se bloquea, el caso pasa al panel y queda en la auditoría.</w:t>
      </w:r>
    </w:p>
    <w:p>
      <w:pPr>
        <w:pStyle w:val="BodyText"/>
      </w:pPr>
      <w:r>
        <w:rPr>
          <w:b/>
          <w:bCs/>
        </w:rPr>
        <w:t xml:space="preserve">Cancelación sin costo hasta</w:t>
      </w:r>
      <w:r>
        <w:rPr>
          <w:b/>
          <w:bCs/>
        </w:rPr>
        <w:t xml:space="preserve"> </w:t>
      </w:r>
      <w:r>
        <w:rPr>
          <w:b/>
          <w:bCs/>
        </w:rPr>
        <w:t xml:space="preserve">“voy en camino”</w:t>
      </w:r>
      <w:r>
        <w:rPr>
          <w:b/>
          <w:bCs/>
        </w:rPr>
        <w:t xml:space="preserve">.</w:t>
      </w:r>
      <w:r>
        <w:t xml:space="preserve"> </w:t>
      </w:r>
      <w:r>
        <w:t xml:space="preserve">El efecto económico depende de quién cancela y cuándo: nada antes del traslado; tarifa de visita si el cliente rechaza la cotización o no está; nada si el maestro declara que el trabajo lo supera. Cada cancelación registra origen, momento y motivo, y los efectos se muestran antes de confirmar.</w:t>
      </w:r>
    </w:p>
    <w:p>
      <w:pPr>
        <w:pStyle w:val="BodyText"/>
      </w:pPr>
      <w:r>
        <w:rPr>
          <w:b/>
          <w:bCs/>
        </w:rPr>
        <w:t xml:space="preserve">Una disputa bloquea el cierre financiero.</w:t>
      </w:r>
      <w:r>
        <w:t xml:space="preserve"> </w:t>
      </w:r>
      <w:r>
        <w:t xml:space="preserve">Mientras exista una disputa abierta, el pago no sigue el camino normal de liberación. La torre de control debe resolver, y la resolución queda documentada con su efecto financiero.</w:t>
      </w:r>
    </w:p>
    <w:bookmarkEnd w:id="40"/>
    <w:bookmarkStart w:id="41" w:name="confianza-cobertura-y-privacidad"/>
    <w:p>
      <w:pPr>
        <w:pStyle w:val="Heading3"/>
      </w:pPr>
      <w:r>
        <w:t xml:space="preserve">Confianza, cobertura y privacidad</w:t>
      </w:r>
    </w:p>
    <w:p>
      <w:pPr>
        <w:pStyle w:val="FirstParagraph"/>
      </w:pPr>
      <w:r>
        <w:rPr>
          <w:b/>
          <w:bCs/>
        </w:rPr>
        <w:t xml:space="preserve">Sello RELWO solo con las tres capas vigentes.</w:t>
      </w:r>
      <w:r>
        <w:t xml:space="preserve"> </w:t>
      </w:r>
      <w:r>
        <w:t xml:space="preserve">El sello aparece únicamente cuando identidad, antecedentes y referencias están vigentes a la vez, cada una con fecha y fuente. Si una capa vence, el sello desaparece de forma automática hasta que se renueve.</w:t>
      </w:r>
    </w:p>
    <w:p>
      <w:pPr>
        <w:pStyle w:val="BodyText"/>
      </w:pPr>
      <w:r>
        <w:rPr>
          <w:b/>
          <w:bCs/>
        </w:rPr>
        <w:t xml:space="preserve">Cobertura por comunas declaradas y activación con tres maestros.</w:t>
      </w:r>
      <w:r>
        <w:t xml:space="preserve"> </w:t>
      </w:r>
      <w:r>
        <w:t xml:space="preserve">La cobertura opera sobre las comunas que cada maestro declara atender, no sobre su ubicación. Una comuna se activa al reunir tres maestros con sello y disponibilidad, umbral configurable por oficio. La plataforma no registra la ubicación de los maestros fuera del día del servicio; cada activación queda en la auditoría y la desactivación manual prevalece.</w:t>
      </w:r>
    </w:p>
    <w:p>
      <w:pPr>
        <w:pStyle w:val="BodyText"/>
      </w:pPr>
      <w:r>
        <w:rPr>
          <w:b/>
          <w:bCs/>
        </w:rPr>
        <w:t xml:space="preserve">Evaluaciones solo de servicios completados y a doble ciego.</w:t>
      </w:r>
      <w:r>
        <w:t xml:space="preserve"> </w:t>
      </w:r>
      <w:r>
        <w:t xml:space="preserve">Solo evalúan las cuentas de un servicio completado; las evaluaciones se publican a la vez al cumplirse la ventana y no se editan después. No alimentan la difusión de solicitudes, el orden por defecto ni los bloqueos.</w:t>
      </w:r>
    </w:p>
    <w:p>
      <w:pPr>
        <w:pStyle w:val="BodyText"/>
      </w:pPr>
      <w:r>
        <w:rPr>
          <w:b/>
          <w:bCs/>
        </w:rPr>
        <w:t xml:space="preserve">Privacidad de contacto dentro de la plataforma.</w:t>
      </w:r>
      <w:r>
        <w:t xml:space="preserve"> </w:t>
      </w:r>
      <w:r>
        <w:t xml:space="preserve">No se exponen teléfono, dirección exacta ni datos de acceso antes de la elección y de la necesidad operativa; la coordinación va por la mensajería del servicio, y las descripciones con datos de contacto no se publican. Un acuerdo fuera de la plataforma deja una señal que la torre de control revisa como patrón, sin bloquear por sí sola.</w:t>
      </w:r>
    </w:p>
    <w:bookmarkEnd w:id="41"/>
    <w:bookmarkEnd w:id="42"/>
    <w:bookmarkStart w:id="43" w:name="requerimientos-no-funcionales"/>
    <w:p>
      <w:pPr>
        <w:pStyle w:val="Heading1"/>
      </w:pPr>
      <w:r>
        <w:t xml:space="preserve">6. Requerimientos no funcionales</w:t>
      </w:r>
    </w:p>
    <w:p>
      <w:pPr>
        <w:pStyle w:val="FirstParagraph"/>
      </w:pPr>
      <w:r>
        <w:t xml:space="preserve">Estos requerimientos definen cómo debe comportarse el sistema más allá de sus funciones. Donde se menciona la normativa, el compromiso es diseñar para apoyar su cumplimiento, sujeto a revisión de la asesora legal.</w:t>
      </w:r>
    </w:p>
    <w:p>
      <w:pPr>
        <w:pStyle w:val="BodyText"/>
      </w:pPr>
      <w:r>
        <w:rPr>
          <w:b/>
          <w:bCs/>
        </w:rPr>
        <w:t xml:space="preserve">Rendimiento.</w:t>
      </w:r>
      <w:r>
        <w:t xml:space="preserve"> </w:t>
      </w:r>
      <w:r>
        <w:t xml:space="preserve">La app abre rápido y el flujo de solicitud es breve. El inicio interactivo ocurre en menos de 3 segundos en un Android de gama media con 4G, las respuestas del servidor quedan bajo 800 ms en el percentil 95, la solicitud se envía en menos de 2 minutos y el instalable pesa menos de 60 MB.</w:t>
      </w:r>
    </w:p>
    <w:p>
      <w:pPr>
        <w:pStyle w:val="BodyText"/>
      </w:pPr>
      <w:r>
        <w:rPr>
          <w:b/>
          <w:bCs/>
        </w:rPr>
        <w:t xml:space="preserve">Disponibilidad y confiabilidad.</w:t>
      </w:r>
      <w:r>
        <w:t xml:space="preserve"> </w:t>
      </w:r>
      <w:r>
        <w:t xml:space="preserve">Los servicios críticos están disponibles y resisten reintentos. La disponibilidad mensual objetivo es de 99,5 %, y pago, aprobación y cierre son idempotentes. Una caída de red durante el pago o el cierre no produce cobros ni liberaciones duplicados, y perder la ubicación no bloquea el seguimiento por estados.</w:t>
      </w:r>
    </w:p>
    <w:p>
      <w:pPr>
        <w:pStyle w:val="BodyText"/>
      </w:pPr>
      <w:r>
        <w:rPr>
          <w:b/>
          <w:bCs/>
        </w:rPr>
        <w:t xml:space="preserve">Seguridad.</w:t>
      </w:r>
      <w:r>
        <w:t xml:space="preserve"> </w:t>
      </w:r>
      <w:r>
        <w:t xml:space="preserve">La información viaja y se guarda cifrada, y cada rol accede solo a lo suyo. Hay cifrado en tránsito y en reposo, y control de acceso por rol. Ningún dato completo de tarjeta se almacena; contraseñas, códigos de cierre y datos de acceso nunca aparecen en los registros técnicos, y existe protección ante intentos de acceso anómalos.</w:t>
      </w:r>
    </w:p>
    <w:p>
      <w:pPr>
        <w:pStyle w:val="BodyText"/>
      </w:pPr>
      <w:r>
        <w:rPr>
          <w:b/>
          <w:bCs/>
        </w:rPr>
        <w:t xml:space="preserve">Privacidad y protección de datos.</w:t>
      </w:r>
      <w:r>
        <w:t xml:space="preserve"> </w:t>
      </w:r>
      <w:r>
        <w:t xml:space="preserve">El sistema apoya el cumplimiento de la Ley 21.719 sobre protección de datos personales. El consentimiento se registra al crear la cuenta, los datos se minimizan en los eventos de producto y los permisos de ubicación, cámara y notificaciones se piden en el momento de uso. La dirección y los datos de acceso se restringen por rol, servicio y ventana temporal; la ubicación de los maestros no se registra fuera del día del servicio, y los documentos de verificación se tratan como datos sensibles.</w:t>
      </w:r>
    </w:p>
    <w:p>
      <w:pPr>
        <w:pStyle w:val="BodyText"/>
      </w:pPr>
      <w:r>
        <w:rPr>
          <w:b/>
          <w:bCs/>
        </w:rPr>
        <w:t xml:space="preserve">Accesibilidad.</w:t>
      </w:r>
      <w:r>
        <w:t xml:space="preserve"> </w:t>
      </w:r>
      <w:r>
        <w:t xml:space="preserve">La app es usable por personas con distintas capacidades. Cumple el nivel AA de WCAG 2.2 en los criterios aplicables a móvil (contraste, etiquetas, foco y lector de pantalla), con un área táctil mínima de 44 por 44 puntos, respeto del tamaño de texto del sistema y ningún estado comunicado solo por color.</w:t>
      </w:r>
    </w:p>
    <w:p>
      <w:pPr>
        <w:pStyle w:val="BodyText"/>
      </w:pPr>
      <w:r>
        <w:rPr>
          <w:b/>
          <w:bCs/>
        </w:rPr>
        <w:t xml:space="preserve">Compatibilidad.</w:t>
      </w:r>
      <w:r>
        <w:t xml:space="preserve"> </w:t>
      </w:r>
      <w:r>
        <w:t xml:space="preserve">El producto funciona en los dispositivos del piloto. La app es instalable en Android e iOS mediante distribución de prueba, y el panel web se adapta a computadores y tabletas. La compatibilidad con dispositivos sin servicios de Google queda pendiente de definición con el cliente.</w:t>
      </w:r>
    </w:p>
    <w:p>
      <w:pPr>
        <w:pStyle w:val="BodyText"/>
      </w:pPr>
      <w:r>
        <w:rPr>
          <w:b/>
          <w:bCs/>
        </w:rPr>
        <w:t xml:space="preserve">Auditoría y trazabilidad.</w:t>
      </w:r>
      <w:r>
        <w:t xml:space="preserve"> </w:t>
      </w:r>
      <w:r>
        <w:t xml:space="preserve">Toda acción sensible y todo cambio económico conservan su historia. Las acciones administrativas se auditan con actor, fecha y motivo; cotizaciones, ajustes, pagos, estados y evidencias conservan actor, fecha y versión, y los eventos del flujo central se registran desde el primer día y son consultables por el cliente.</w:t>
      </w:r>
    </w:p>
    <w:p>
      <w:pPr>
        <w:pStyle w:val="BodyText"/>
      </w:pPr>
      <w:r>
        <w:rPr>
          <w:b/>
          <w:bCs/>
        </w:rPr>
        <w:t xml:space="preserve">Respaldo y recuperación.</w:t>
      </w:r>
      <w:r>
        <w:t xml:space="preserve"> </w:t>
      </w:r>
      <w:r>
        <w:t xml:space="preserve">Los datos sobreviven a una falla. Hay respaldo diario con retención mínima de 7 días y recuperación a un punto en el tiempo, además de respaldo de las evidencias. La pérdida máxima es de 24 horas de datos, la recuperación se logra en 4 horas y el ensayo de restauración debe quedar documentado antes de la beta.</w:t>
      </w:r>
    </w:p>
    <w:p>
      <w:pPr>
        <w:pStyle w:val="BodyText"/>
      </w:pPr>
      <w:r>
        <w:rPr>
          <w:b/>
          <w:bCs/>
        </w:rPr>
        <w:t xml:space="preserve">Observabilidad.</w:t>
      </w:r>
      <w:r>
        <w:t xml:space="preserve"> </w:t>
      </w:r>
      <w:r>
        <w:t xml:space="preserve">El equipo y el cliente saben cuándo algo falla. Hay métricas, registros y trazas correlacionadas por solicitud, captura de errores en la app y el servidor, alerta automática ante caída del servidor o de la pasarela y un tablero de salud técnica, sin datos sensibles en la herramienta de monitoreo.</w:t>
      </w:r>
    </w:p>
    <w:p>
      <w:pPr>
        <w:pStyle w:val="BodyText"/>
      </w:pPr>
      <w:r>
        <w:rPr>
          <w:b/>
          <w:bCs/>
        </w:rPr>
        <w:t xml:space="preserve">Conciliación diaria de pagos.</w:t>
      </w:r>
      <w:r>
        <w:t xml:space="preserve"> </w:t>
      </w:r>
      <w:r>
        <w:t xml:space="preserve">El estado local de cada pago se compara con el procesador. Un proceso diario compara cada pago, incluidos los tres montos que genera la doble comisión, contra el reporte de la pasarela; toda discrepancia queda registrada y genera alerta, y ninguna corrección contable ocurre en silencio.</w:t>
      </w:r>
    </w:p>
    <w:p>
      <w:pPr>
        <w:pStyle w:val="BodyText"/>
      </w:pPr>
      <w:r>
        <w:rPr>
          <w:b/>
          <w:bCs/>
        </w:rPr>
        <w:t xml:space="preserve">Mantenibilidad.</w:t>
      </w:r>
      <w:r>
        <w:t xml:space="preserve"> </w:t>
      </w:r>
      <w:r>
        <w:t xml:space="preserve">El sistema se puede cambiar con seguridad. Presentación, dominio e integraciones están separados, y un contrato compartido entre servidor, app y panel detiene la integración si se desincroniza. Hay pruebas automáticas sobre precio, pagos y estados (cerca de 4.800 al cierre del Sprint 7), los parámetros del negocio son configuración remota y los entornos de prueba y producción están separados.</w:t>
      </w:r>
    </w:p>
    <w:p>
      <w:pPr>
        <w:pStyle w:val="BodyText"/>
      </w:pPr>
      <w:r>
        <w:rPr>
          <w:b/>
          <w:bCs/>
        </w:rPr>
        <w:t xml:space="preserve">Localización.</w:t>
      </w:r>
      <w:r>
        <w:t xml:space="preserve"> </w:t>
      </w:r>
      <w:r>
        <w:t xml:space="preserve">El producto habla el idioma del piloto: español de Chile, pesos chilenos, zona horaria local y formatos de fecha y hora comprensibles.</w:t>
      </w:r>
    </w:p>
    <w:bookmarkEnd w:id="43"/>
    <w:bookmarkStart w:id="44" w:name="estados-del-servicio"/>
    <w:p>
      <w:pPr>
        <w:pStyle w:val="Heading1"/>
      </w:pPr>
      <w:r>
        <w:t xml:space="preserve">7. Estados del servicio</w:t>
      </w:r>
    </w:p>
    <w:p>
      <w:pPr>
        <w:pStyle w:val="FirstParagraph"/>
      </w:pPr>
      <w:r>
        <w:t xml:space="preserve">Un servicio tiene ocho estados: seis del recorrido normal y dos excepcionales, la disputa y la cancelación. El estado del pago se guarda por separado, porque un servicio puede estar agendado mientras su pago está autorizado, capturado, parcialmente devuelto o en disputa; mezclarlos produce errores contables.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Estado</w:t>
            </w:r>
          </w:p>
        </w:tc>
        <w:tc>
          <w:tcPr/>
          <w:p>
            <w:pPr>
              <w:pStyle w:val="Compact"/>
            </w:pPr>
            <w:r>
              <w:rPr>
                <w:b/>
                <w:bCs/>
              </w:rPr>
              <w:t xml:space="preserve">Significado y qué lo provoca</w:t>
            </w:r>
          </w:p>
        </w:tc>
      </w:tr>
      <w:tr>
        <w:tc>
          <w:tcPr/>
          <w:p>
            <w:pPr>
              <w:pStyle w:val="Compact"/>
            </w:pPr>
            <w:r>
              <w:t xml:space="preserve">Creada</w:t>
            </w:r>
          </w:p>
        </w:tc>
        <w:tc>
          <w:tcPr/>
          <w:p>
            <w:pPr>
              <w:pStyle w:val="Compact"/>
            </w:pPr>
            <w:r>
              <w:t xml:space="preserve">El cliente completó y envió su solicitud; no hay precio ni cobro.</w:t>
            </w:r>
          </w:p>
        </w:tc>
      </w:tr>
      <w:tr>
        <w:tc>
          <w:tcPr/>
          <w:p>
            <w:pPr>
              <w:pStyle w:val="Compact"/>
            </w:pPr>
            <w:r>
              <w:t xml:space="preserve">Confirmada</w:t>
            </w:r>
          </w:p>
        </w:tc>
        <w:tc>
          <w:tcPr/>
          <w:p>
            <w:pPr>
              <w:pStyle w:val="Compact"/>
            </w:pPr>
            <w:r>
              <w:t xml:space="preserve">El cliente eligió una oferta y el servicio quedó agendado, sin cobro.</w:t>
            </w:r>
          </w:p>
        </w:tc>
      </w:tr>
      <w:tr>
        <w:tc>
          <w:tcPr/>
          <w:p>
            <w:pPr>
              <w:pStyle w:val="Compact"/>
            </w:pPr>
            <w:r>
              <w:t xml:space="preserve">Pagada en custodia</w:t>
            </w:r>
          </w:p>
        </w:tc>
        <w:tc>
          <w:tcPr/>
          <w:p>
            <w:pPr>
              <w:pStyle w:val="Compact"/>
            </w:pPr>
            <w:r>
              <w:t xml:space="preserve">El cliente aceptó el monto cotizado en terreno y se ejecutó el cobro único.</w:t>
            </w:r>
          </w:p>
        </w:tc>
      </w:tr>
      <w:tr>
        <w:tc>
          <w:tcPr/>
          <w:p>
            <w:pPr>
              <w:pStyle w:val="Compact"/>
            </w:pPr>
            <w:r>
              <w:t xml:space="preserve">En ejecución</w:t>
            </w:r>
          </w:p>
        </w:tc>
        <w:tc>
          <w:tcPr/>
          <w:p>
            <w:pPr>
              <w:pStyle w:val="Compact"/>
            </w:pPr>
            <w:r>
              <w:t xml:space="preserve">El cobro quedó acreditado y el maestro trabaja en el domicilio.</w:t>
            </w:r>
          </w:p>
        </w:tc>
      </w:tr>
      <w:tr>
        <w:tc>
          <w:tcPr/>
          <w:p>
            <w:pPr>
              <w:pStyle w:val="Compact"/>
            </w:pPr>
            <w:r>
              <w:t xml:space="preserve">Pendiente de cierre</w:t>
            </w:r>
          </w:p>
        </w:tc>
        <w:tc>
          <w:tcPr/>
          <w:p>
            <w:pPr>
              <w:pStyle w:val="Compact"/>
            </w:pPr>
            <w:r>
              <w:t xml:space="preserve">El maestro subió las fotografías de término y pidió la aprobación del cliente.</w:t>
            </w:r>
          </w:p>
        </w:tc>
      </w:tr>
      <w:tr>
        <w:tc>
          <w:tcPr/>
          <w:p>
            <w:pPr>
              <w:pStyle w:val="Compact"/>
            </w:pPr>
            <w:r>
              <w:t xml:space="preserve">Completada</w:t>
            </w:r>
          </w:p>
        </w:tc>
        <w:tc>
          <w:tcPr/>
          <w:p>
            <w:pPr>
              <w:pStyle w:val="Compact"/>
            </w:pPr>
            <w:r>
              <w:t xml:space="preserve">El maestro ingresó el código correcto, o la torre de control resolvió una disputa.</w:t>
            </w:r>
          </w:p>
        </w:tc>
      </w:tr>
      <w:tr>
        <w:tc>
          <w:tcPr/>
          <w:p>
            <w:pPr>
              <w:pStyle w:val="Compact"/>
            </w:pPr>
            <w:r>
              <w:t xml:space="preserve">En disputa</w:t>
            </w:r>
          </w:p>
        </w:tc>
        <w:tc>
          <w:tcPr/>
          <w:p>
            <w:pPr>
              <w:pStyle w:val="Compact"/>
            </w:pPr>
            <w:r>
              <w:t xml:space="preserve">El cliente pulsó</w:t>
            </w:r>
            <w:r>
              <w:t xml:space="preserve"> </w:t>
            </w:r>
            <w:r>
              <w:t xml:space="preserve">“Tuve un problema”</w:t>
            </w:r>
            <w:r>
              <w:t xml:space="preserve">; el pago queda retenido.</w:t>
            </w:r>
          </w:p>
        </w:tc>
      </w:tr>
      <w:tr>
        <w:tc>
          <w:tcPr/>
          <w:p>
            <w:pPr>
              <w:pStyle w:val="Compact"/>
            </w:pPr>
            <w:r>
              <w:t xml:space="preserve">Cancelada</w:t>
            </w:r>
          </w:p>
        </w:tc>
        <w:tc>
          <w:tcPr/>
          <w:p>
            <w:pPr>
              <w:pStyle w:val="Compact"/>
            </w:pPr>
            <w:r>
              <w:t xml:space="preserve">El servicio no se ejecutará.</w:t>
            </w:r>
          </w:p>
        </w:tc>
      </w:tr>
    </w:tbl>
    <w:p>
      <w:pPr>
        <w:pStyle w:val="BodyText"/>
      </w:pPr>
      <w:r>
        <w:rPr>
          <w:b/>
          <w:bCs/>
        </w:rPr>
        <w:t xml:space="preserve">Detalle de cada estado.</w:t>
      </w:r>
      <w:r>
        <w:t xml:space="preserve"> </w:t>
      </w:r>
      <w:r>
        <w:t xml:space="preserve">En creada, el servidor publica la solicitud a los maestros que calzan. Dentro de confirmada se muestran los hitos</w:t>
      </w:r>
      <w:r>
        <w:t xml:space="preserve"> </w:t>
      </w:r>
      <w:r>
        <w:t xml:space="preserve">“en camino”</w:t>
      </w:r>
      <w:r>
        <w:t xml:space="preserve"> </w:t>
      </w:r>
      <w:r>
        <w:t xml:space="preserve">y</w:t>
      </w:r>
      <w:r>
        <w:t xml:space="preserve"> </w:t>
      </w:r>
      <w:r>
        <w:t xml:space="preserve">“llegó”</w:t>
      </w:r>
      <w:r>
        <w:t xml:space="preserve"> </w:t>
      </w:r>
      <w:r>
        <w:t xml:space="preserve">del día del servicio. En pagada en custodia, los fondos quedaron retenidos por la pasarela hasta un cierre válido. En ejecución, el maestro puede declarar gastos imprevistos, que el cliente aprueba o rechaza sin que el estado cambie. En pendiente de cierre, el maestro además completó la lista de verificación, y falta que ingrese el código que el cliente le muestra.</w:t>
      </w:r>
    </w:p>
    <w:p>
      <w:pPr>
        <w:pStyle w:val="BodyText"/>
      </w:pPr>
      <w:r>
        <w:t xml:space="preserve">Al llegar a completada, el pago se liberó (hito</w:t>
      </w:r>
      <w:r>
        <w:t xml:space="preserve"> </w:t>
      </w:r>
      <w:r>
        <w:t xml:space="preserve">“pago liberado”</w:t>
      </w:r>
      <w:r>
        <w:t xml:space="preserve">) y ambas partes pueden evaluar; también se llega aquí cuando la torre de control resuelve una disputa liberando el pago o con reembolso parcial. El cliente puede pasar a en disputa desde la aceptación del monto hasta el cierre, o tras completarse el servicio dentro del plazo configurable; mientras tanto hay un caso abierto en la torre de control. La cancelación la provoca el cliente antes de</w:t>
      </w:r>
      <w:r>
        <w:t xml:space="preserve"> </w:t>
      </w:r>
      <w:r>
        <w:t xml:space="preserve">“voy en camino”</w:t>
      </w:r>
      <w:r>
        <w:t xml:space="preserve"> </w:t>
      </w:r>
      <w:r>
        <w:t xml:space="preserve">(sin costo), el cliente al rechazar la cotización o no estar en el domicilio (tarifa de visita), el maestro al declarar que el trabajo lo supera (sin cobro) o la torre de control al resolver una disputa con reembolso total (hito</w:t>
      </w:r>
      <w:r>
        <w:t xml:space="preserve"> </w:t>
      </w:r>
      <w:r>
        <w:t xml:space="preserve">“reembolsada”</w:t>
      </w:r>
      <w:r>
        <w:t xml:space="preserve">).</w:t>
      </w:r>
    </w:p>
    <w:p>
      <w:pPr>
        <w:pStyle w:val="BodyText"/>
      </w:pPr>
      <w:r>
        <w:t xml:space="preserve">Los hitos entre comillas (en camino, llegó, pago liberado, reembolsada) son información visible para las personas, no estados propios: ninguna regla de pago ni de aprobación depende de ellos, y esa restricción se verifica con pruebas automáticas. La aprobación en terreno y cada gasto imprevisto se registran aparte, con su propio ciclo, de modo que el conjunto de ocho estados no crece.</w:t>
      </w:r>
    </w:p>
    <w:bookmarkEnd w:id="44"/>
    <w:bookmarkStart w:id="45" w:name="criterios-de-aceptación-del-mvp"/>
    <w:p>
      <w:pPr>
        <w:pStyle w:val="Heading1"/>
      </w:pPr>
      <w:r>
        <w:t xml:space="preserve">8. Criterios de aceptación del MVP</w:t>
      </w:r>
    </w:p>
    <w:p>
      <w:pPr>
        <w:pStyle w:val="FirstParagraph"/>
      </w:pPr>
      <w:r>
        <w:t xml:space="preserve">Estos criterios los puede verificar el cliente por sí mismo, sin asistencia del equipo, en la revisión de aceptación de octubre de 2026.</w:t>
      </w:r>
    </w:p>
    <w:p>
      <w:pPr>
        <w:pStyle w:val="BodyText"/>
      </w:pPr>
      <w:r>
        <w:rPr>
          <w:b/>
          <w:bCs/>
        </w:rPr>
        <w:t xml:space="preserve">Registro y cobertura.</w:t>
      </w:r>
      <w:r>
        <w:t xml:space="preserve"> </w:t>
      </w:r>
      <w:r>
        <w:t xml:space="preserve">Un cliente puede instalar la app en Android y en iPhone, crear su cuenta con correo y contraseña, activarla con el código recibido y, una vez aprobada por la torre de control, llegar al inicio de su rol; un maestro ve la pantalla de cuenta en revisión mientras espera. Un cliente con un hogar en Las Condes, Ñuñoa, Vitacura o Santiago ve su dirección geocodificada, la cobertura activa y los tres oficios contratables; con una dirección fuera de cobertura ve el mensaje de espera y su interés queda registrado.</w:t>
      </w:r>
    </w:p>
    <w:p>
      <w:pPr>
        <w:pStyle w:val="BodyText"/>
      </w:pPr>
      <w:r>
        <w:rPr>
          <w:b/>
          <w:bCs/>
        </w:rPr>
        <w:t xml:space="preserve">Solicitud, ofertas y cotización.</w:t>
      </w:r>
      <w:r>
        <w:t xml:space="preserve"> </w:t>
      </w:r>
      <w:r>
        <w:t xml:space="preserve">Un cliente puede crear y enviar una solicitud sin ver precio en menos de 2 minutos; cada oferta recibida muestra el valor estimado, la tarifa de visita y el desglose calculado por el servidor, y al elegir una, aunque toque dos veces o reintente, queda exactamente una elegida sin ningún cargo en su tarjeta. Un maestro no puede comenzar el trabajo hasta que el cliente acepta la cotización definitiva en la app y el cobro único queda acreditado; si el cliente la rechaza, se cobra solo la tarifa de visita y el servicio queda cancelado.</w:t>
      </w:r>
    </w:p>
    <w:p>
      <w:pPr>
        <w:pStyle w:val="BodyText"/>
      </w:pPr>
      <w:r>
        <w:rPr>
          <w:b/>
          <w:bCs/>
        </w:rPr>
        <w:t xml:space="preserve">Seguimiento, cierre y reclamos.</w:t>
      </w:r>
      <w:r>
        <w:t xml:space="preserve"> </w:t>
      </w:r>
      <w:r>
        <w:t xml:space="preserve">Un cliente ve los hitos del servicio en orden, en palabras, y recibe la notificación de cada uno. Un maestro con las fotografías de término subidas puede ingresar el código de tres dígitos que el cliente le muestra; el pago se libera una sola vez, ambas partes pueden evaluar y el servicio aparece en ambos historiales. Al cuarto intento fallido el código se bloquea y el caso aparece en el panel. Un cliente puede pulsar</w:t>
      </w:r>
      <w:r>
        <w:t xml:space="preserve"> </w:t>
      </w:r>
      <w:r>
        <w:t xml:space="preserve">“Tuve un problema”</w:t>
      </w:r>
      <w:r>
        <w:t xml:space="preserve">, adjuntar evidencia y comprobar que el pago no se libera hasta que un administrador resuelve el caso.</w:t>
      </w:r>
    </w:p>
    <w:p>
      <w:pPr>
        <w:pStyle w:val="BodyText"/>
      </w:pPr>
      <w:r>
        <w:rPr>
          <w:b/>
          <w:bCs/>
        </w:rPr>
        <w:t xml:space="preserve">Torre de control.</w:t>
      </w:r>
      <w:r>
        <w:t xml:space="preserve"> </w:t>
      </w:r>
      <w:r>
        <w:t xml:space="preserve">Un administrador puede aprobar o rechazar maestros revisando sus documentos, resolver una disputa liberando o reembolsando, retener o liberar un pago de forma manual, y ver que el Sello RELWO aparece solo con las tres capas vigentes. Un administrador puede deshabilitar la comisión de un lado desde el panel y ver que el siguiente cálculo la omite sin publicar una versión nueva de la app, exportar a planilla los eventos del flujo central con filtros y ver en el tablero de salud técnica el resultado de la conciliación diaria, incluida la alerta cuando un pago difiere del reporte de la pasarela.</w:t>
      </w:r>
    </w:p>
    <w:bookmarkEnd w:id="45"/>
    <w:bookmarkStart w:id="46" w:name="fuera-del-alcance-del-mvp"/>
    <w:p>
      <w:pPr>
        <w:pStyle w:val="Heading1"/>
      </w:pPr>
      <w:r>
        <w:t xml:space="preserve">9. Fuera del alcance del MVP</w:t>
      </w:r>
    </w:p>
    <w:p>
      <w:pPr>
        <w:pStyle w:val="FirstParagraph"/>
      </w:pPr>
      <w:r>
        <w:t xml:space="preserve">Los siguientes puntos quedaron fuera de la primera versión. Cualquier incorporación anticipada pasa por el registro de cambios de alcance.</w:t>
      </w:r>
    </w:p>
    <w:p>
      <w:pPr>
        <w:pStyle w:val="BodyText"/>
      </w:pPr>
      <w:r>
        <w:rPr>
          <w:b/>
          <w:bCs/>
        </w:rPr>
        <w:t xml:space="preserve">Seguimiento y ubicación.</w:t>
      </w:r>
      <w:r>
        <w:t xml:space="preserve"> </w:t>
      </w:r>
      <w:r>
        <w:t xml:space="preserve">Queda fuera el seguimiento continuo del maestro en tiempo real durante todo el trayecto. El MVP muestra la posición solo durante el tramo</w:t>
      </w:r>
      <w:r>
        <w:t xml:space="preserve"> </w:t>
      </w:r>
      <w:r>
        <w:t xml:space="preserve">“en camino”</w:t>
      </w:r>
      <w:r>
        <w:t xml:space="preserve"> </w:t>
      </w:r>
      <w:r>
        <w:t xml:space="preserve">y comprueba la llegada de forma puntual. La arquitectura de eventos queda preparada para incorporarlo después.</w:t>
      </w:r>
    </w:p>
    <w:p>
      <w:pPr>
        <w:pStyle w:val="BodyText"/>
      </w:pPr>
      <w:r>
        <w:rPr>
          <w:b/>
          <w:bCs/>
        </w:rPr>
        <w:t xml:space="preserve">Trámites y documentos.</w:t>
      </w:r>
      <w:r>
        <w:t xml:space="preserve"> </w:t>
      </w:r>
      <w:r>
        <w:t xml:space="preserve">Tampoco se incluye la emisión de boletas de honorarios ante el Servicio de Impuestos Internos desde la app, ni el registro informativo de las boletas que el maestro emite por su cuenta. Quedan fuera la firma electrónica avanzada de documentos y la creación de figuras societarias o el apoyo tributario para los maestros.</w:t>
      </w:r>
    </w:p>
    <w:p>
      <w:pPr>
        <w:pStyle w:val="BodyText"/>
      </w:pPr>
      <w:r>
        <w:rPr>
          <w:b/>
          <w:bCs/>
        </w:rPr>
        <w:t xml:space="preserve">Funciones comerciales y de canal.</w:t>
      </w:r>
      <w:r>
        <w:t xml:space="preserve"> </w:t>
      </w:r>
      <w:r>
        <w:t xml:space="preserve">No forman parte del MVP el programa de fidelización, incluidos referidos, membresías, niveles y beneficios; los asistentes automatizados de ventas (el soporte en la app sí está incluido); el chat avanzado en tiempo real (la mensajería básica del servicio sí está incluida), y la versión web para clientes, porque el panel web es exclusivo de operaciones.</w:t>
      </w:r>
    </w:p>
    <w:p>
      <w:pPr>
        <w:pStyle w:val="BodyText"/>
      </w:pPr>
      <w:r>
        <w:rPr>
          <w:b/>
          <w:bCs/>
        </w:rPr>
        <w:t xml:space="preserve">Funciones de operación y dispositivos.</w:t>
      </w:r>
      <w:r>
        <w:t xml:space="preserve"> </w:t>
      </w:r>
      <w:r>
        <w:t xml:space="preserve">Se posponen la reprogramación de servicios agendados, el reporte de atrasos durante el servicio, la lectura automática de comprobantes de gastos y el porcentaje de puntualidad en el perfil del maestro. También la compatibilidad con dispositivos sin servicios de Google y la distribución en tiendas alternativas, pendiente de definición con el cliente. Por último, quedan fuera el desbloqueo biométrico, la descarga y eliminación de datos personales desde la app, el valor de referencia de mercado y el bloqueo temporal por incumplimientos (estos dos últimos marcados como</w:t>
      </w:r>
      <w:r>
        <w:t xml:space="preserve"> </w:t>
      </w:r>
      <w:r>
        <w:t xml:space="preserve">“Posterior”</w:t>
      </w:r>
      <w:r>
        <w:t xml:space="preserve"> </w:t>
      </w:r>
      <w:r>
        <w:t xml:space="preserve">en la sección 4).</w:t>
      </w:r>
    </w:p>
    <w:bookmarkEnd w:id="46"/>
    <w:bookmarkStart w:id="47" w:name="supuestos-y-dependencias"/>
    <w:p>
      <w:pPr>
        <w:pStyle w:val="Heading1"/>
      </w:pPr>
      <w:r>
        <w:t xml:space="preserve">10. Supuestos y dependencias</w:t>
      </w:r>
    </w:p>
    <w:p>
      <w:pPr>
        <w:pStyle w:val="FirstParagraph"/>
      </w:pPr>
      <w:r>
        <w:rPr>
          <w:b/>
          <w:bCs/>
        </w:rPr>
        <w:t xml:space="preserve">Pasarela de pago.</w:t>
      </w:r>
      <w:r>
        <w:t xml:space="preserve"> </w:t>
      </w:r>
      <w:r>
        <w:t xml:space="preserve">La pasarela de pago opera en modo de pruebas durante todo el proyecto. El módulo de pagos se construyó detrás de un adaptador con un doble de prueba, para que las demostraciones no dependan del proveedor; el mecanismo exacto de custodia se validará con el proveedor definitivo que elija el cliente.</w:t>
      </w:r>
    </w:p>
    <w:p>
      <w:pPr>
        <w:pStyle w:val="BodyText"/>
      </w:pPr>
      <w:r>
        <w:rPr>
          <w:b/>
          <w:bCs/>
        </w:rPr>
        <w:t xml:space="preserve">Verificación de identidad.</w:t>
      </w:r>
      <w:r>
        <w:t xml:space="preserve"> </w:t>
      </w:r>
      <w:r>
        <w:t xml:space="preserve">El proveedor de verificación de identidad está pendiente de contratación por parte del cliente. Mientras tanto, la verificación se resuelve de forma manual desde la torre de control, con el mismo registro de estado, fecha y fuente.</w:t>
      </w:r>
    </w:p>
    <w:p>
      <w:pPr>
        <w:pStyle w:val="BodyText"/>
      </w:pPr>
      <w:r>
        <w:rPr>
          <w:b/>
          <w:bCs/>
        </w:rPr>
        <w:t xml:space="preserve">Revisión legal.</w:t>
      </w:r>
      <w:r>
        <w:t xml:space="preserve"> </w:t>
      </w:r>
      <w:r>
        <w:t xml:space="preserve">El pronunciamiento de la asesora legal sobre términos y condiciones, tratamiento de datos y responsabilidad por los servicios está pendiente. El sistema se diseñó para apoyar el cumplimiento de la Ley 21.719, pero no afirma cumplimiento legal absoluto hasta esa revisión.</w:t>
      </w:r>
    </w:p>
    <w:p>
      <w:pPr>
        <w:pStyle w:val="BodyText"/>
      </w:pPr>
      <w:r>
        <w:rPr>
          <w:b/>
          <w:bCs/>
        </w:rPr>
        <w:t xml:space="preserve">Mapas.</w:t>
      </w:r>
      <w:r>
        <w:t xml:space="preserve"> </w:t>
      </w:r>
      <w:r>
        <w:t xml:space="preserve">La geocodificación y los límites comunales provienen de un servicio de mapas y de cartografía pública; si el servicio no responde, la app degrada a ingreso manual de dirección y a estados sin mapa.</w:t>
      </w:r>
    </w:p>
    <w:p>
      <w:pPr>
        <w:pStyle w:val="BodyText"/>
      </w:pPr>
      <w:r>
        <w:rPr>
          <w:b/>
          <w:bCs/>
        </w:rPr>
        <w:t xml:space="preserve">Notificaciones.</w:t>
      </w:r>
      <w:r>
        <w:t xml:space="preserve"> </w:t>
      </w:r>
      <w:r>
        <w:t xml:space="preserve">Las notificaciones push dependen del proveedor de mensajería y del sistema operativo; los avisos críticos tienen respaldo por correo, y los mensajes de texto se usan solo como respaldo de avisos, nunca para verificar ni recuperar el acceso.</w:t>
      </w:r>
    </w:p>
    <w:p>
      <w:pPr>
        <w:pStyle w:val="BodyText"/>
      </w:pPr>
      <w:r>
        <w:rPr>
          <w:b/>
          <w:bCs/>
        </w:rPr>
        <w:t xml:space="preserve">Parámetros del negocio.</w:t>
      </w:r>
      <w:r>
        <w:t xml:space="preserve"> </w:t>
      </w:r>
      <w:r>
        <w:t xml:space="preserve">Los valores iniciales de comisión, recargo, topes, plazos, radio y umbral son datos configurables que la parte comercial puede ajustar; los descuentos por frecuencia en limpieza siguen sin cifra y se cargarán desde el panel cuando el cliente los defina.</w:t>
      </w:r>
    </w:p>
    <w:bookmarkEnd w:id="47"/>
    <w:bookmarkStart w:id="48" w:name="glosario"/>
    <w:p>
      <w:pPr>
        <w:pStyle w:val="Heading1"/>
      </w:pPr>
      <w:r>
        <w:t xml:space="preserve">11. Glosario</w:t>
      </w:r>
    </w:p>
    <w:p>
      <w:pPr>
        <w:pStyle w:val="FirstParagraph"/>
      </w:pPr>
      <w:r>
        <w:rPr>
          <w:b/>
          <w:bCs/>
        </w:rPr>
        <w:t xml:space="preserve">Pago en custodia.</w:t>
      </w:r>
      <w:r>
        <w:t xml:space="preserve"> </w:t>
      </w:r>
      <w:r>
        <w:t xml:space="preserve">Estado del pago en que los fondos están retenidos por la pasarela y no se entregan al maestro hasta un cierre válido o una resolución de disputa.</w:t>
      </w:r>
    </w:p>
    <w:p>
      <w:pPr>
        <w:pStyle w:val="BodyText"/>
      </w:pPr>
      <w:r>
        <w:rPr>
          <w:b/>
          <w:bCs/>
        </w:rPr>
        <w:t xml:space="preserve">Multioferta.</w:t>
      </w:r>
      <w:r>
        <w:t xml:space="preserve"> </w:t>
      </w:r>
      <w:r>
        <w:t xml:space="preserve">Modelo en que la solicitud se publica a todos los maestros que calzan y cada interesado oferta; el cliente elige entre las ofertas, no de un directorio previo.</w:t>
      </w:r>
    </w:p>
    <w:p>
      <w:pPr>
        <w:pStyle w:val="BodyText"/>
      </w:pPr>
      <w:r>
        <w:rPr>
          <w:b/>
          <w:bCs/>
        </w:rPr>
        <w:t xml:space="preserve">Valor estimado.</w:t>
      </w:r>
      <w:r>
        <w:t xml:space="preserve"> </w:t>
      </w:r>
      <w:r>
        <w:t xml:space="preserve">Primera cifra de la oferta: lo que el maestro estima que costará el trabajo antes de verlo. Se confirma o ajusta en terreno.</w:t>
      </w:r>
    </w:p>
    <w:p>
      <w:pPr>
        <w:pStyle w:val="BodyText"/>
      </w:pPr>
      <w:r>
        <w:rPr>
          <w:b/>
          <w:bCs/>
        </w:rPr>
        <w:t xml:space="preserve">Tarifa de visita.</w:t>
      </w:r>
      <w:r>
        <w:t xml:space="preserve"> </w:t>
      </w:r>
      <w:r>
        <w:t xml:space="preserve">Segunda cifra de la oferta: lo que el maestro cobra por ir a diagnosticar. Se cobra solo si el cliente no toma el trabajo, íntegra al maestro y con la comisión del cliente encima.</w:t>
      </w:r>
    </w:p>
    <w:p>
      <w:pPr>
        <w:pStyle w:val="BodyText"/>
      </w:pPr>
      <w:r>
        <w:rPr>
          <w:b/>
          <w:bCs/>
        </w:rPr>
        <w:t xml:space="preserve">Cotización en terreno.</w:t>
      </w:r>
      <w:r>
        <w:t xml:space="preserve"> </w:t>
      </w:r>
      <w:r>
        <w:t xml:space="preserve">Monto definitivo que el maestro fija en el domicilio, con fotografía del problema y motivo si difiere del estimado. Su aceptación dispara el cobro único.</w:t>
      </w:r>
    </w:p>
    <w:p>
      <w:pPr>
        <w:pStyle w:val="BodyText"/>
      </w:pPr>
      <w:r>
        <w:rPr>
          <w:b/>
          <w:bCs/>
        </w:rPr>
        <w:t xml:space="preserve">Gasto imprevisto.</w:t>
      </w:r>
      <w:r>
        <w:t xml:space="preserve"> </w:t>
      </w:r>
      <w:r>
        <w:t xml:space="preserve">Material o gasto que la cotización no cubría, declarado durante la ejecución con comprobante. Requiere aprobación del cliente y se cobra al cierre en un cargo directo, sin comisión.</w:t>
      </w:r>
    </w:p>
    <w:p>
      <w:pPr>
        <w:pStyle w:val="BodyText"/>
      </w:pPr>
      <w:r>
        <w:rPr>
          <w:b/>
          <w:bCs/>
        </w:rPr>
        <w:t xml:space="preserve">Código de cierre.</w:t>
      </w:r>
      <w:r>
        <w:t xml:space="preserve"> </w:t>
      </w:r>
      <w:r>
        <w:t xml:space="preserve">Código de tres dígitos, exclusivo del servicio y de un solo uso, que la app muestra al cliente y que el maestro ingresa para confirmar el término. Admite tres intentos.</w:t>
      </w:r>
    </w:p>
    <w:p>
      <w:pPr>
        <w:pStyle w:val="BodyText"/>
      </w:pPr>
      <w:r>
        <w:rPr>
          <w:b/>
          <w:bCs/>
        </w:rPr>
        <w:t xml:space="preserve">Sello RELWO.</w:t>
      </w:r>
      <w:r>
        <w:t xml:space="preserve"> </w:t>
      </w:r>
      <w:r>
        <w:t xml:space="preserve">Distintivo visual del maestro que aparece solo cuando identidad, antecedentes y referencias están vigentes a la vez.</w:t>
      </w:r>
    </w:p>
    <w:p>
      <w:pPr>
        <w:pStyle w:val="BodyText"/>
      </w:pPr>
      <w:r>
        <w:rPr>
          <w:b/>
          <w:bCs/>
        </w:rPr>
        <w:t xml:space="preserve">Torre de control.</w:t>
      </w:r>
      <w:r>
        <w:t xml:space="preserve"> </w:t>
      </w:r>
      <w:r>
        <w:t xml:space="preserve">Panel web de operaciones del cliente, independiente de la app, donde se aprueban cuentas, se resuelven disputas, se configuran parámetros y se consultan auditoría y métricas.</w:t>
      </w:r>
    </w:p>
    <w:p>
      <w:pPr>
        <w:pStyle w:val="BodyText"/>
      </w:pPr>
      <w:r>
        <w:rPr>
          <w:b/>
          <w:bCs/>
        </w:rPr>
        <w:t xml:space="preserve">Comuna operativa.</w:t>
      </w:r>
      <w:r>
        <w:t xml:space="preserve"> </w:t>
      </w:r>
      <w:r>
        <w:t xml:space="preserve">Comuna en la que se pueden contratar servicios porque reúne el umbral de maestros con sello y disponibilidad; las demás comunas visibles solo registran demanda.</w:t>
      </w:r>
    </w:p>
    <w:bookmarkEnd w:id="48"/>
    <w:bookmarkStart w:id="49" w:name="evolución-del-documento"/>
    <w:p>
      <w:pPr>
        <w:pStyle w:val="Heading1"/>
      </w:pPr>
      <w:r>
        <w:t xml:space="preserve">12. Evolución del documento</w:t>
      </w:r>
    </w:p>
    <w:p>
      <w:pPr>
        <w:pStyle w:val="FirstParagraph"/>
      </w:pPr>
      <w:r>
        <w:t xml:space="preserve">El alcance descrito aquí no es el que planificamos al inicio: se ajustó en tres momentos durante la Fase 2, siempre con acuerdo del Product Owner. El primero fue el reemplazo del despacho en cascada, en que la plataforma ofrecía el trabajo a un maestro a la vez, por la publicación con multioferta, en que todos los maestros que calzan reciben la solicitud y el cliente elige entre quienes responden. El segundo fue el reemplazo del precio calculado por reglas y mostrado antes de enviar la solicitud por la cotización del propio maestro, con dos cifras en la oferta y un cobro único después del diagnóstico en terreno; con ello la elección dejó de cobrar. El tercero fue la extensión del flujo central de once a catorce pasos, para incorporar la llegada verificada por posición, la cotización con fotografía, los gastos imprevistos y el aviso de término con desglose, además del cambio de quién ingresa el código de cierre, que pasó del cliente al maestro. Esta versión consolida lo vigente al cierre del Sprint 7, con el Sprint 8 en curso; el detalle de cada cambio, con fecha y justificación, está en el Registro de cambios de alcance.</w:t>
      </w:r>
    </w:p>
    <w:bookmarkEnd w:id="49"/>
    <w:sectPr w:rsidR="00FC693F" w:rsidRPr="0006063C" w:rsidSect="00034616">
      <w:headerReference r:id="rId9" w:type="default"/>
      <w:footerReference r:id="rId10" w:type="default"/>
      <w:pgSz w:h="16838" w:w="11906"/>
      <w:pgMar w:bottom="1020" w:footer="720" w:gutter="0" w:header="720" w:left="1134" w:right="1134"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Página </w:t>
    </w: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RELWO · Portafolio de Título (PTY4614) · Duoc UC Plaza Norte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64" w:lineRule="auto"/>
    </w:pPr>
    <w:rPr>
      <w:rFonts w:ascii="Calibri" w:eastAsia="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outlineLvl w:val="0"/>
    </w:pPr>
    <w:rPr>
      <w:rFonts w:ascii="Calibri" w:hAnsi="Calibri"/>
      <w:b/>
      <w:bCs/>
      <w:color w:val="1F3864"/>
      <w:sz w:val="36"/>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Calibri" w:hAnsi="Calibri"/>
      <w:b/>
      <w:bCs/>
      <w:color w:val="1F3864"/>
      <w:sz w:val="28"/>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Calibri" w:hAnsi="Calibri"/>
      <w:b/>
      <w:bCs/>
      <w:color w:val="2E75B6"/>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Calibri" w:hAnsi="Calibri"/>
      <w:b/>
      <w:bCs/>
      <w:i/>
      <w:iCs/>
      <w:color w:val="2E75B6"/>
      <w:sz w:val="22"/>
    </w:rPr>
  </w:style>
  <w:style w:styleId="Heading5" w:type="paragraph">
    <w:name w:val="heading 5"/>
    <w:basedOn w:val="Normal"/>
    <w:next w:val="Normal"/>
    <w:link w:val="Heading5Char"/>
    <w:uiPriority w:val="9"/>
    <w:semiHidden/>
    <w:unhideWhenUsed/>
    <w:qFormat/>
    <w:rsid w:val="00FC693F"/>
    <w:pPr>
      <w:keepNext/>
      <w:keepLines/>
      <w:spacing w:after="80" w:before="160"/>
      <w:outlineLvl w:val="4"/>
    </w:pPr>
    <w:rPr>
      <w:rFonts w:ascii="Calibri" w:hAnsi="Calibri"/>
      <w:b/>
      <w:color w:val="595959"/>
      <w:sz w:val="21"/>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Table" w:type="table">
    <w:name w:val="Table"/>
    <w:basedOn w:val="TableNormal"/>
    <w:uiPriority w:val="59"/>
    <w:rPr>
      <w:sz w:val="18"/>
      <w:szCs w:val="18"/>
    </w:rPr>
    <w:tblPr>
      <w:tblStyleRowBandSize w:val="1"/>
      <w:tblW w:type="auto" w:w="0"/>
      <w:tblBorders>
        <w:top w:color="9AA3B5" w:space="0" w:sz="4" w:val="single"/>
        <w:left w:color="9AA3B5" w:space="0" w:sz="4" w:val="single"/>
        <w:bottom w:color="9AA3B5" w:space="0" w:sz="4" w:val="single"/>
        <w:right w:color="9AA3B5" w:space="0" w:sz="4" w:val="single"/>
        <w:insideH w:color="9AA3B5" w:space="0" w:sz="4" w:val="single"/>
        <w:insideV w:color="9AA3B5" w:space="0" w:sz="4" w:val="single"/>
      </w:tblBorders>
      <w:tblCellMar>
        <w:top w:type="dxa" w:w="40"/>
        <w:left w:type="dxa" w:w="80"/>
        <w:bottom w:type="dxa" w:w="40"/>
        <w:right w:type="dxa" w:w="80"/>
      </w:tblCellMar>
    </w:tblPr>
    <w:tblStylePr w:type="firstRow">
      <w:rPr>
        <w:b/>
      </w:rPr>
      <w:tcPr>
        <w:shd w:color="auto" w:fill="E8ECF5"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2026-10-19T18:40:32Z</dcterms:created>
  <dcterms:modified xsi:type="dcterms:W3CDTF">2026-10-19T18:40:32Z</dcterms:modified>
</cp:coreProperties>
</file>

<file path=docProps/custom.xml><?xml version="1.0" encoding="utf-8"?>
<Properties xmlns="http://schemas.openxmlformats.org/officeDocument/2006/custom-properties" xmlns:vt="http://schemas.openxmlformats.org/officeDocument/2006/docPropsVTypes"/>
</file>