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Requerimientos de diseño de la aplicación</w:t>
      </w:r>
    </w:p>
    <w:p>
      <w:pPr>
        <w:pStyle w:val="BodyText"/>
      </w:pPr>
      <w:r>
        <w:t xml:space="preserve">Principios de experiencia, identidad visual, sistema de componentes, pantallas clave y accesibilidad</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contenido"/>
    <w:p>
      <w:pPr>
        <w:pStyle w:val="Heading1"/>
      </w:pPr>
      <w:r>
        <w:t xml:space="preserve">Contenido</w:t>
      </w:r>
    </w:p>
    <w:p>
      <w:pPr>
        <w:pStyle w:val="Compact"/>
        <w:numPr>
          <w:ilvl w:val="0"/>
          <w:numId w:val="1001"/>
        </w:numPr>
      </w:pPr>
      <w:r>
        <w:t xml:space="preserve">Propósito</w:t>
      </w:r>
    </w:p>
    <w:p>
      <w:pPr>
        <w:pStyle w:val="Compact"/>
        <w:numPr>
          <w:ilvl w:val="0"/>
          <w:numId w:val="1001"/>
        </w:numPr>
      </w:pPr>
      <w:r>
        <w:t xml:space="preserve">Principios de experiencia</w:t>
      </w:r>
    </w:p>
    <w:p>
      <w:pPr>
        <w:pStyle w:val="Compact"/>
        <w:numPr>
          <w:ilvl w:val="0"/>
          <w:numId w:val="1001"/>
        </w:numPr>
      </w:pPr>
      <w:r>
        <w:t xml:space="preserve">Identidad visual</w:t>
      </w:r>
    </w:p>
    <w:p>
      <w:pPr>
        <w:pStyle w:val="Compact"/>
        <w:numPr>
          <w:ilvl w:val="0"/>
          <w:numId w:val="1001"/>
        </w:numPr>
      </w:pPr>
      <w:r>
        <w:t xml:space="preserve">Sistema de componentes</w:t>
      </w:r>
    </w:p>
    <w:p>
      <w:pPr>
        <w:pStyle w:val="Compact"/>
        <w:numPr>
          <w:ilvl w:val="0"/>
          <w:numId w:val="1001"/>
        </w:numPr>
      </w:pPr>
      <w:r>
        <w:t xml:space="preserve">Pantallas clave</w:t>
      </w:r>
    </w:p>
    <w:p>
      <w:pPr>
        <w:pStyle w:val="Compact"/>
        <w:numPr>
          <w:ilvl w:val="0"/>
          <w:numId w:val="1001"/>
        </w:numPr>
      </w:pPr>
      <w:r>
        <w:t xml:space="preserve">Modo claro y modo oscuro</w:t>
      </w:r>
    </w:p>
    <w:p>
      <w:pPr>
        <w:pStyle w:val="Compact"/>
        <w:numPr>
          <w:ilvl w:val="0"/>
          <w:numId w:val="1001"/>
        </w:numPr>
      </w:pPr>
      <w:r>
        <w:t xml:space="preserve">Accesibilidad</w:t>
      </w:r>
    </w:p>
    <w:p>
      <w:pPr>
        <w:pStyle w:val="Compact"/>
        <w:numPr>
          <w:ilvl w:val="0"/>
          <w:numId w:val="1001"/>
        </w:numPr>
      </w:pPr>
      <w:r>
        <w:t xml:space="preserve">Plataformas y diseño adaptable</w:t>
      </w:r>
    </w:p>
    <w:p>
      <w:pPr>
        <w:pStyle w:val="Compact"/>
        <w:numPr>
          <w:ilvl w:val="0"/>
          <w:numId w:val="1001"/>
        </w:numPr>
      </w:pPr>
      <w:r>
        <w:t xml:space="preserve">Criterios de aceptación visual</w:t>
      </w:r>
    </w:p>
    <w:p>
      <w:pPr>
        <w:pStyle w:val="Compact"/>
        <w:numPr>
          <w:ilvl w:val="0"/>
          <w:numId w:val="1001"/>
        </w:numPr>
      </w:pPr>
      <w:r>
        <w:t xml:space="preserve">Cómo evolucionó el diseño</w:t>
      </w:r>
    </w:p>
    <w:p>
      <w:r>
        <w:br w:type="page"/>
      </w:r>
    </w:p>
    <w:bookmarkEnd w:id="19"/>
    <w:bookmarkStart w:id="20" w:name="propósito"/>
    <w:p>
      <w:pPr>
        <w:pStyle w:val="Heading1"/>
      </w:pPr>
      <w:r>
        <w:t xml:space="preserve">1. Propósito</w:t>
      </w:r>
    </w:p>
    <w:p>
      <w:pPr>
        <w:pStyle w:val="FirstParagraph"/>
      </w:pPr>
      <w:r>
        <w:t xml:space="preserve">Este documento define cómo se ve y cómo se siente Relwo: los principios que guían la experiencia, la identidad visual, el sistema de componentes que se repite en todas las pantallas, las pantallas clave de cada rol, el comportamiento en modo claro y oscuro, las reglas de accesibilidad y los criterios con que el equipo verifica que lo construido coincide con lo diseñado. No describe el comportamiento funcional de cada pantalla, que está en la Especificación de Requerimientos; aquí se fija el lenguaje visual con que ese comportamiento se presenta al usuario.</w:t>
      </w:r>
    </w:p>
    <w:p>
      <w:pPr>
        <w:pStyle w:val="BodyText"/>
      </w:pPr>
      <w:r>
        <w:t xml:space="preserve">El trabajo de diseño lo lideró Tania Sáez, quien construyó el prototipo navegable del MVP y tomó las decisiones de paleta, botones y componentes que este documento recoge. En lo que sigue hablamos de</w:t>
      </w:r>
      <w:r>
        <w:t xml:space="preserve"> </w:t>
      </w:r>
      <w:r>
        <w:t xml:space="preserve">“el equipo de diseño”</w:t>
      </w:r>
      <w:r>
        <w:t xml:space="preserve"> </w:t>
      </w:r>
      <w:r>
        <w:t xml:space="preserve">para referirnos a ese trabajo y a las revisiones que el resto del equipo hizo sobre él.</w:t>
      </w:r>
    </w:p>
    <w:p>
      <w:pPr>
        <w:pStyle w:val="BodyText"/>
      </w:pPr>
      <w:r>
        <w:t xml:space="preserve">Durante la Fase 2 este documento fue la referencia compartida entre quien diseñaba y quienes construían. El prototipo navegable, en su versión 2.2 de 57 pantallas, fue la referencia visual contra la que se construyó la aplicación móvil y la que orientó la torre de control (el panel de administración): cada pantalla terminada se comparó con su equivalente del prototipo y las diferencias se anotaron en lugar de aplicarse en silencio. El documento tuvo ocho versiones entre julio y octubre de 2026, siguiendo los cambios de alcance del proyecto.</w:t>
      </w:r>
    </w:p>
    <w:bookmarkEnd w:id="20"/>
    <w:bookmarkStart w:id="21" w:name="principios-de-experiencia"/>
    <w:p>
      <w:pPr>
        <w:pStyle w:val="Heading1"/>
      </w:pPr>
      <w:r>
        <w:t xml:space="preserve">2. Principios de experiencia</w:t>
      </w:r>
    </w:p>
    <w:p>
      <w:pPr>
        <w:pStyle w:val="FirstParagraph"/>
      </w:pPr>
      <w:r>
        <w:t xml:space="preserve">El equipo de diseño definió seis principios que ordenan las decisiones posteriores. Cada uno responde a una preocupación concreta del cliente (el hogar) o del maestro y se traduce en reglas visibles en la app.</w:t>
      </w:r>
    </w:p>
    <w:p>
      <w:pPr>
        <w:pStyle w:val="BodyText"/>
      </w:pPr>
      <w:r>
        <w:rPr>
          <w:b/>
          <w:bCs/>
        </w:rPr>
        <w:t xml:space="preserve">Confianza visible.</w:t>
      </w:r>
      <w:r>
        <w:t xml:space="preserve"> </w:t>
      </w:r>
      <w:r>
        <w:t xml:space="preserve">Cada capa de verificación del maestro (identidad, antecedentes, referencias) se muestra con fecha y fuente, nunca solo con un adjetivo como</w:t>
      </w:r>
      <w:r>
        <w:t xml:space="preserve"> </w:t>
      </w:r>
      <w:r>
        <w:t xml:space="preserve">“verificado”</w:t>
      </w:r>
      <w:r>
        <w:t xml:space="preserve">. El cliente ve esa evidencia en la oferta antes de decidir.</w:t>
      </w:r>
    </w:p>
    <w:p>
      <w:pPr>
        <w:pStyle w:val="BodyText"/>
      </w:pPr>
      <w:r>
        <w:rPr>
          <w:b/>
          <w:bCs/>
        </w:rPr>
        <w:t xml:space="preserve">Transparencia de precio.</w:t>
      </w:r>
      <w:r>
        <w:t xml:space="preserve"> </w:t>
      </w:r>
      <w:r>
        <w:t xml:space="preserve">El desglose de la comisión está a la vista antes de elegir una oferta y antes de aceptar el monto cotizado en terreno, que es el único momento en que se cobra. No hay cargos que el cliente no vio venir.</w:t>
      </w:r>
    </w:p>
    <w:p>
      <w:pPr>
        <w:pStyle w:val="BodyText"/>
      </w:pPr>
      <w:r>
        <w:rPr>
          <w:b/>
          <w:bCs/>
        </w:rPr>
        <w:t xml:space="preserve">Base clara y limpia.</w:t>
      </w:r>
      <w:r>
        <w:t xml:space="preserve"> </w:t>
      </w:r>
      <w:r>
        <w:t xml:space="preserve">Fondo claro y tarjetas blancas:</w:t>
      </w:r>
      <w:r>
        <w:t xml:space="preserve"> </w:t>
      </w:r>
      <w:r>
        <w:t xml:space="preserve">“limpieza vende luz”</w:t>
      </w:r>
      <w:r>
        <w:t xml:space="preserve">. El azul noche se reserva a los momentos de marca, como la bienvenida y la tarjeta de</w:t>
      </w:r>
      <w:r>
        <w:t xml:space="preserve"> </w:t>
      </w:r>
      <w:r>
        <w:t xml:space="preserve">“Próximo servicio”</w:t>
      </w:r>
      <w:r>
        <w:t xml:space="preserve">.</w:t>
      </w:r>
    </w:p>
    <w:p>
      <w:pPr>
        <w:pStyle w:val="BodyText"/>
      </w:pPr>
      <w:r>
        <w:rPr>
          <w:b/>
          <w:bCs/>
        </w:rPr>
        <w:t xml:space="preserve">Progresividad.</w:t>
      </w:r>
      <w:r>
        <w:t xml:space="preserve"> </w:t>
      </w:r>
      <w:r>
        <w:t xml:space="preserve">El cliente explora los servicios sin completar todos sus datos, pero no confirma una solicitud sin perfil, hogar y medio de pago válidos. Los datos se piden cuando hacen falta.</w:t>
      </w:r>
    </w:p>
    <w:p>
      <w:pPr>
        <w:pStyle w:val="BodyText"/>
      </w:pPr>
      <w:r>
        <w:rPr>
          <w:b/>
          <w:bCs/>
        </w:rPr>
        <w:t xml:space="preserve">Custodia visible.</w:t>
      </w:r>
      <w:r>
        <w:t xml:space="preserve"> </w:t>
      </w:r>
      <w:r>
        <w:t xml:space="preserve">La línea de tiempo del día del servicio muestra el estado del dinero en custodia, no solo el estado logístico: el cliente ve que su pago está retenido y cuándo se libera.</w:t>
      </w:r>
    </w:p>
    <w:p>
      <w:pPr>
        <w:pStyle w:val="BodyText"/>
      </w:pPr>
      <w:r>
        <w:rPr>
          <w:b/>
          <w:bCs/>
        </w:rPr>
        <w:t xml:space="preserve">Sello RELWO como firma.</w:t>
      </w:r>
      <w:r>
        <w:t xml:space="preserve"> </w:t>
      </w:r>
      <w:r>
        <w:t xml:space="preserve">El degradado del logotipo se reserva como firma de verificación y momento de cierre, no como decoración. Es distinto del degradado del botón primario, que es un recurso de acción y no de marca.</w:t>
      </w:r>
    </w:p>
    <w:bookmarkEnd w:id="21"/>
    <w:bookmarkStart w:id="24" w:name="identidad-visual"/>
    <w:p>
      <w:pPr>
        <w:pStyle w:val="Heading1"/>
      </w:pPr>
      <w:r>
        <w:t xml:space="preserve">3. Identidad visual</w:t>
      </w:r>
    </w:p>
    <w:p>
      <w:pPr>
        <w:pStyle w:val="FirstParagraph"/>
      </w:pPr>
      <w:r>
        <w:t xml:space="preserve">El concepto de marca es</w:t>
      </w:r>
      <w:r>
        <w:t xml:space="preserve"> </w:t>
      </w:r>
      <w:r>
        <w:t xml:space="preserve">“Relwo, la red que da confianza”</w:t>
      </w:r>
      <w:r>
        <w:t xml:space="preserve">. El logotipo lo expresa con una letra R construida con nodos conectados, en un degradado que va del amarillo al verde, al celeste y al azul. La versión vigente, entregada el 24 de septiembre de 2026 junto con el prototipo v2.2, conserva ese concepto con trazos más gruesos y existe en tres formas: el isotipo con fondo transparente (para fondos claros y como ícono de aplicación), la versión horizontal con la palabra en blanco (para contextos oscuros) y el ícono de las apps sobre azul noche. El logotipo no se deforma, no se rota, no se recolorea ni recibe sombras o brillos. El área de resguardo mínima y el tamaño mínimo legible quedaron como decisión pendiente del equipo.</w:t>
      </w:r>
    </w:p>
    <w:bookmarkStart w:id="22" w:name="paleta"/>
    <w:p>
      <w:pPr>
        <w:pStyle w:val="Heading2"/>
      </w:pPr>
      <w:r>
        <w:t xml:space="preserve">3.1 Paleta</w:t>
      </w:r>
    </w:p>
    <w:p>
      <w:pPr>
        <w:pStyle w:val="FirstParagraph"/>
      </w:pPr>
      <w:r>
        <w:t xml:space="preserve">La paleta vigente es la del prototipo navegable, validada por el equipo de diseño el 5 de septiembre de 2026. Reemplazó a la del primer mockup (esmeralda sobre azul noche) y, desde el 24 de septiembre, la acción principal pasó del coral a un degradado verde-azul, dejando el coral como acento. La tabla resume el modo claro; los códigos son hexadecimales y se escriben sin el símbolo de numeral. El degradado verde a azul se usa en toda acción principal.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Uso</w:t>
            </w:r>
          </w:p>
        </w:tc>
        <w:tc>
          <w:tcPr/>
          <w:p>
            <w:pPr>
              <w:pStyle w:val="Compact"/>
            </w:pPr>
            <w:r>
              <w:rPr>
                <w:b/>
                <w:bCs/>
              </w:rPr>
              <w:t xml:space="preserve">Color</w:t>
            </w:r>
          </w:p>
        </w:tc>
        <w:tc>
          <w:tcPr/>
          <w:p>
            <w:pPr>
              <w:pStyle w:val="Compact"/>
            </w:pPr>
            <w:r>
              <w:rPr>
                <w:b/>
                <w:bCs/>
              </w:rPr>
              <w:t xml:space="preserve">Código</w:t>
            </w:r>
          </w:p>
        </w:tc>
      </w:tr>
      <w:tr>
        <w:tc>
          <w:tcPr/>
          <w:p>
            <w:pPr>
              <w:pStyle w:val="Compact"/>
            </w:pPr>
            <w:r>
              <w:t xml:space="preserve">Fondo general de las pantallas</w:t>
            </w:r>
          </w:p>
        </w:tc>
        <w:tc>
          <w:tcPr/>
          <w:p>
            <w:pPr>
              <w:pStyle w:val="Compact"/>
            </w:pPr>
            <w:r>
              <w:t xml:space="preserve">Gris muy claro</w:t>
            </w:r>
          </w:p>
        </w:tc>
        <w:tc>
          <w:tcPr/>
          <w:p>
            <w:pPr>
              <w:pStyle w:val="Compact"/>
            </w:pPr>
            <w:r>
              <w:t xml:space="preserve">F6F7FB</w:t>
            </w:r>
          </w:p>
        </w:tc>
      </w:tr>
      <w:tr>
        <w:tc>
          <w:tcPr/>
          <w:p>
            <w:pPr>
              <w:pStyle w:val="Compact"/>
            </w:pPr>
            <w:r>
              <w:t xml:space="preserve">Tarjetas, hojas modales y barras inferiores</w:t>
            </w:r>
          </w:p>
        </w:tc>
        <w:tc>
          <w:tcPr/>
          <w:p>
            <w:pPr>
              <w:pStyle w:val="Compact"/>
            </w:pPr>
            <w:r>
              <w:t xml:space="preserve">Blanco</w:t>
            </w:r>
          </w:p>
        </w:tc>
        <w:tc>
          <w:tcPr/>
          <w:p>
            <w:pPr>
              <w:pStyle w:val="Compact"/>
            </w:pPr>
            <w:r>
              <w:t xml:space="preserve">FFFFFF</w:t>
            </w:r>
          </w:p>
        </w:tc>
      </w:tr>
      <w:tr>
        <w:tc>
          <w:tcPr/>
          <w:p>
            <w:pPr>
              <w:pStyle w:val="Compact"/>
            </w:pPr>
            <w:r>
              <w:t xml:space="preserve">Identidad, encabezados y navegación</w:t>
            </w:r>
          </w:p>
        </w:tc>
        <w:tc>
          <w:tcPr/>
          <w:p>
            <w:pPr>
              <w:pStyle w:val="Compact"/>
            </w:pPr>
            <w:r>
              <w:t xml:space="preserve">Azul profundo</w:t>
            </w:r>
          </w:p>
        </w:tc>
        <w:tc>
          <w:tcPr/>
          <w:p>
            <w:pPr>
              <w:pStyle w:val="Compact"/>
            </w:pPr>
            <w:r>
              <w:t xml:space="preserve">243B6B</w:t>
            </w:r>
          </w:p>
        </w:tc>
      </w:tr>
      <w:tr>
        <w:tc>
          <w:tcPr/>
          <w:p>
            <w:pPr>
              <w:pStyle w:val="Compact"/>
            </w:pPr>
            <w:r>
              <w:t xml:space="preserve">Bienvenida y momentos de marca</w:t>
            </w:r>
          </w:p>
        </w:tc>
        <w:tc>
          <w:tcPr/>
          <w:p>
            <w:pPr>
              <w:pStyle w:val="Compact"/>
            </w:pPr>
            <w:r>
              <w:t xml:space="preserve">Azul noche</w:t>
            </w:r>
          </w:p>
        </w:tc>
        <w:tc>
          <w:tcPr/>
          <w:p>
            <w:pPr>
              <w:pStyle w:val="Compact"/>
            </w:pPr>
            <w:r>
              <w:t xml:space="preserve">172442</w:t>
            </w:r>
          </w:p>
        </w:tc>
      </w:tr>
      <w:tr>
        <w:tc>
          <w:tcPr/>
          <w:p>
            <w:pPr>
              <w:pStyle w:val="Compact"/>
            </w:pPr>
            <w:r>
              <w:t xml:space="preserve">Selecciones, chips activos y superficies secundarias</w:t>
            </w:r>
          </w:p>
        </w:tc>
        <w:tc>
          <w:tcPr/>
          <w:p>
            <w:pPr>
              <w:pStyle w:val="Compact"/>
            </w:pPr>
            <w:r>
              <w:t xml:space="preserve">Lavanda</w:t>
            </w:r>
          </w:p>
        </w:tc>
        <w:tc>
          <w:tcPr/>
          <w:p>
            <w:pPr>
              <w:pStyle w:val="Compact"/>
            </w:pPr>
            <w:r>
              <w:t xml:space="preserve">7C6EE6</w:t>
            </w:r>
          </w:p>
        </w:tc>
      </w:tr>
      <w:tr>
        <w:tc>
          <w:tcPr/>
          <w:p>
            <w:pPr>
              <w:pStyle w:val="Compact"/>
            </w:pPr>
            <w:r>
              <w:t xml:space="preserve">Botón primario, con texto blanco</w:t>
            </w:r>
          </w:p>
        </w:tc>
        <w:tc>
          <w:tcPr/>
          <w:p>
            <w:pPr>
              <w:pStyle w:val="Compact"/>
            </w:pPr>
            <w:r>
              <w:t xml:space="preserve">Degradado verde a azul</w:t>
            </w:r>
          </w:p>
        </w:tc>
        <w:tc>
          <w:tcPr/>
          <w:p>
            <w:pPr>
              <w:pStyle w:val="Compact"/>
            </w:pPr>
            <w:r>
              <w:t xml:space="preserve">4CB944 a 1E6FE8</w:t>
            </w:r>
          </w:p>
        </w:tc>
      </w:tr>
      <w:tr>
        <w:tc>
          <w:tcPr/>
          <w:p>
            <w:pPr>
              <w:pStyle w:val="Compact"/>
            </w:pPr>
            <w:r>
              <w:t xml:space="preserve">Acento: punto de la campana, urgencias, pestaña activa</w:t>
            </w:r>
          </w:p>
        </w:tc>
        <w:tc>
          <w:tcPr/>
          <w:p>
            <w:pPr>
              <w:pStyle w:val="Compact"/>
            </w:pPr>
            <w:r>
              <w:t xml:space="preserve">Coral</w:t>
            </w:r>
          </w:p>
        </w:tc>
        <w:tc>
          <w:tcPr/>
          <w:p>
            <w:pPr>
              <w:pStyle w:val="Compact"/>
            </w:pPr>
            <w:r>
              <w:t xml:space="preserve">F06449</w:t>
            </w:r>
          </w:p>
        </w:tc>
      </w:tr>
      <w:tr>
        <w:tc>
          <w:tcPr/>
          <w:p>
            <w:pPr>
              <w:pStyle w:val="Compact"/>
            </w:pPr>
            <w:r>
              <w:t xml:space="preserve">Texto principal</w:t>
            </w:r>
          </w:p>
        </w:tc>
        <w:tc>
          <w:tcPr/>
          <w:p>
            <w:pPr>
              <w:pStyle w:val="Compact"/>
            </w:pPr>
            <w:r>
              <w:t xml:space="preserve">Gris azulado oscuro</w:t>
            </w:r>
          </w:p>
        </w:tc>
        <w:tc>
          <w:tcPr/>
          <w:p>
            <w:pPr>
              <w:pStyle w:val="Compact"/>
            </w:pPr>
            <w:r>
              <w:t xml:space="preserve">202636</w:t>
            </w:r>
          </w:p>
        </w:tc>
      </w:tr>
    </w:tbl>
    <w:p>
      <w:pPr>
        <w:pStyle w:val="BodyText"/>
      </w:pPr>
      <w:r>
        <w:t xml:space="preserve">Los colores de estado completan la paleta: verde para confirmaciones y pago liberado (16856B), ámbar para avisos de urgencia o recargo (texto 8F6B00 sobre FCEFDD, oscurecido respecto del prototipo para cumplir el contraste exigido) y rojo para errores y disputas abiertas (D64545), cada uno sobre un fondo suave del mismo tono.</w:t>
      </w:r>
    </w:p>
    <w:bookmarkEnd w:id="22"/>
    <w:bookmarkStart w:id="23" w:name="tipografía-retícula-y-formas"/>
    <w:p>
      <w:pPr>
        <w:pStyle w:val="Heading2"/>
      </w:pPr>
      <w:r>
        <w:t xml:space="preserve">3.2 Tipografía, retícula y formas</w:t>
      </w:r>
    </w:p>
    <w:p>
      <w:pPr>
        <w:pStyle w:val="FirstParagraph"/>
      </w:pPr>
      <w:r>
        <w:t xml:space="preserve">Se usan dos familias tipográficas:</w:t>
      </w:r>
      <w:r>
        <w:t xml:space="preserve"> </w:t>
      </w:r>
      <w:r>
        <w:rPr>
          <w:b/>
          <w:bCs/>
        </w:rPr>
        <w:t xml:space="preserve">Outfit</w:t>
      </w:r>
      <w:r>
        <w:t xml:space="preserve"> </w:t>
      </w:r>
      <w:r>
        <w:t xml:space="preserve">para títulos, momentos de marca y cifras de precio, y</w:t>
      </w:r>
      <w:r>
        <w:t xml:space="preserve"> </w:t>
      </w:r>
      <w:r>
        <w:rPr>
          <w:b/>
          <w:bCs/>
        </w:rPr>
        <w:t xml:space="preserve">DM Sans</w:t>
      </w:r>
      <w:r>
        <w:t xml:space="preserve"> </w:t>
      </w:r>
      <w:r>
        <w:t xml:space="preserve">para cuerpo, formularios, botones y etiquetas. Ambas viajan con la app, de modo que se ven igual en cualquier teléfono. La escala exacta de tamaños quedó como decisión pendiente del equipo; se partió de una escala estándar de interfaz móvil (12, 14, 16, 20, 28 y 34 puntos) que se ajustó pantalla por pantalla.</w:t>
      </w:r>
    </w:p>
    <w:p>
      <w:pPr>
        <w:pStyle w:val="BodyText"/>
      </w:pPr>
      <w:r>
        <w:t xml:space="preserve">El espaciado sigue una</w:t>
      </w:r>
      <w:r>
        <w:t xml:space="preserve"> </w:t>
      </w:r>
      <w:r>
        <w:rPr>
          <w:b/>
          <w:bCs/>
        </w:rPr>
        <w:t xml:space="preserve">retícula de 8 píxeles</w:t>
      </w:r>
      <w:r>
        <w:t xml:space="preserve">: todo margen, alto de componente y separación es múltiplo de 8, y el medio paso de 4 píxeles se admite solo dentro de un componente, nunca entre bloques. Las</w:t>
      </w:r>
      <w:r>
        <w:t xml:space="preserve"> </w:t>
      </w:r>
      <w:r>
        <w:rPr>
          <w:b/>
          <w:bCs/>
        </w:rPr>
        <w:t xml:space="preserve">tarjetas llevan esquinas redondeadas de 16 píxeles</w:t>
      </w:r>
      <w:r>
        <w:t xml:space="preserve"> </w:t>
      </w:r>
      <w:r>
        <w:t xml:space="preserve">y los botones de 8 a 12. Sobre fondo claro las tarjetas son blancas con sombra suave; las tarjetas de marca son de azul noche sólido sin borde. Toda zona accionable (botones, chips, casillas del código de cierre, pasos de cantidad) tiene un</w:t>
      </w:r>
      <w:r>
        <w:t xml:space="preserve"> </w:t>
      </w:r>
      <w:r>
        <w:rPr>
          <w:b/>
          <w:bCs/>
        </w:rPr>
        <w:t xml:space="preserve">área táctil mínima de 44 píxeles</w:t>
      </w:r>
      <w:r>
        <w:t xml:space="preserve">, aunque el elemento dibujado sea más pequeño; es un criterio de aceptación, no una recomendación.</w:t>
      </w:r>
    </w:p>
    <w:p>
      <w:pPr>
        <w:pStyle w:val="BodyText"/>
      </w:pPr>
      <w:r>
        <w:t xml:space="preserve">La iconografía es lineal y simple (casa, calendario, reloj, persona, cámara, llave inglesa, rayo, tijeras, maletín), con grosor de trazo constante. Los íconos de estado, como el check de verificación, usan relleno sólido con el color de éxito sobre un fondo tenue.</w:t>
      </w:r>
    </w:p>
    <w:bookmarkEnd w:id="23"/>
    <w:bookmarkEnd w:id="24"/>
    <w:bookmarkStart w:id="29" w:name="sistema-de-componentes"/>
    <w:p>
      <w:pPr>
        <w:pStyle w:val="Heading1"/>
      </w:pPr>
      <w:r>
        <w:t xml:space="preserve">4. Sistema de componentes</w:t>
      </w:r>
    </w:p>
    <w:p>
      <w:pPr>
        <w:pStyle w:val="FirstParagraph"/>
      </w:pPr>
      <w:r>
        <w:t xml:space="preserve">El sistema de componentes permite que 57 pantallas se sientan como una sola aplicación: cada componente se define una vez y se reutiliza en cliente, maestro y, con mayor densidad, en la torre de control.</w:t>
      </w:r>
    </w:p>
    <w:bookmarkStart w:id="25" w:name="botones"/>
    <w:p>
      <w:pPr>
        <w:pStyle w:val="Heading3"/>
      </w:pPr>
      <w:r>
        <w:t xml:space="preserve">Botones</w:t>
      </w:r>
    </w:p>
    <w:p>
      <w:pPr>
        <w:pStyle w:val="FirstParagraph"/>
      </w:pPr>
      <w:r>
        <w:rPr>
          <w:b/>
          <w:bCs/>
        </w:rPr>
        <w:t xml:space="preserve">Botón primario.</w:t>
      </w:r>
      <w:r>
        <w:t xml:space="preserve"> </w:t>
      </w:r>
      <w:r>
        <w:t xml:space="preserve">Hay uno por pantalla, con el degradado verde-azul y texto blanco; su rótulo cambia con el momento del flujo (</w:t>
      </w:r>
      <w:r>
        <w:t xml:space="preserve">“Continuar”</w:t>
      </w:r>
      <w:r>
        <w:t xml:space="preserve">,</w:t>
      </w:r>
      <w:r>
        <w:t xml:space="preserve"> </w:t>
      </w:r>
      <w:r>
        <w:t xml:space="preserve">“Pedir ahora”</w:t>
      </w:r>
      <w:r>
        <w:t xml:space="preserve">,</w:t>
      </w:r>
      <w:r>
        <w:t xml:space="preserve"> </w:t>
      </w:r>
      <w:r>
        <w:t xml:space="preserve">“Elegir esta oferta”</w:t>
      </w:r>
      <w:r>
        <w:t xml:space="preserve">). Deshabilitado, lleva fondo y texto grises. El</w:t>
      </w:r>
      <w:r>
        <w:t xml:space="preserve"> </w:t>
      </w:r>
      <w:r>
        <w:rPr>
          <w:b/>
          <w:bCs/>
        </w:rPr>
        <w:t xml:space="preserve">botón secundario</w:t>
      </w:r>
      <w:r>
        <w:t xml:space="preserve"> </w:t>
      </w:r>
      <w:r>
        <w:t xml:space="preserve">marca una acción alternativa (por ejemplo</w:t>
      </w:r>
      <w:r>
        <w:t xml:space="preserve"> </w:t>
      </w:r>
      <w:r>
        <w:t xml:space="preserve">“Mensaje”</w:t>
      </w:r>
      <w:r>
        <w:t xml:space="preserve">), con borde azul profundo y fondo transparente; en modo oscuro, borde azul activo. El</w:t>
      </w:r>
      <w:r>
        <w:t xml:space="preserve"> </w:t>
      </w:r>
      <w:r>
        <w:rPr>
          <w:b/>
          <w:bCs/>
        </w:rPr>
        <w:t xml:space="preserve">botón terciario</w:t>
      </w:r>
      <w:r>
        <w:t xml:space="preserve"> </w:t>
      </w:r>
      <w:r>
        <w:t xml:space="preserve">se usa para acciones de bajo compromiso, como texto en azul profundo, sin borde ni relleno.</w:t>
      </w:r>
    </w:p>
    <w:p>
      <w:pPr>
        <w:pStyle w:val="BodyText"/>
      </w:pPr>
      <w:r>
        <w:rPr>
          <w:b/>
          <w:bCs/>
        </w:rPr>
        <w:t xml:space="preserve">Botón de reclamo (</w:t>
      </w:r>
      <w:r>
        <w:rPr>
          <w:b/>
          <w:bCs/>
        </w:rPr>
        <w:t xml:space="preserve">“Tuve un problema”</w:t>
      </w:r>
      <w:r>
        <w:rPr>
          <w:b/>
          <w:bCs/>
        </w:rPr>
        <w:t xml:space="preserve">).</w:t>
      </w:r>
      <w:r>
        <w:t xml:space="preserve"> </w:t>
      </w:r>
      <w:r>
        <w:t xml:space="preserve">Está siempre visible junto al botón primario en las pantallas de servicio en curso y de aprobación del término, del cliente y del maestro. Tiene el mismo tamaño que el primario y borde neutro, y nunca se deshabilita ni se esconde. Es la excepción acordada a la regla del botón único.</w:t>
      </w:r>
    </w:p>
    <w:bookmarkEnd w:id="25"/>
    <w:bookmarkStart w:id="26" w:name="formularios-y-navegación"/>
    <w:p>
      <w:pPr>
        <w:pStyle w:val="Heading3"/>
      </w:pPr>
      <w:r>
        <w:t xml:space="preserve">Formularios y navegación</w:t>
      </w:r>
    </w:p>
    <w:p>
      <w:pPr>
        <w:pStyle w:val="FirstParagraph"/>
      </w:pPr>
      <w:r>
        <w:rPr>
          <w:b/>
          <w:bCs/>
        </w:rPr>
        <w:t xml:space="preserve">Formularios.</w:t>
      </w:r>
      <w:r>
        <w:t xml:space="preserve"> </w:t>
      </w:r>
      <w:r>
        <w:t xml:space="preserve">Se usan chips de selección para parámetros cerrados (tipo de vivienda, frecuencia, tipo de problema), pasos de más y menos para cantidades y campos con etiqueta persistente, nunca solo un texto de ejemplo. Ningún formulario de solicitud muestra ni recalcula un precio. El código de cierre lo escribe el maestro en casillas de un dígito con avance automático.</w:t>
      </w:r>
    </w:p>
    <w:p>
      <w:pPr>
        <w:pStyle w:val="BodyText"/>
      </w:pPr>
      <w:r>
        <w:rPr>
          <w:b/>
          <w:bCs/>
        </w:rPr>
        <w:t xml:space="preserve">Navegación del cliente y del maestro.</w:t>
      </w:r>
      <w:r>
        <w:t xml:space="preserve"> </w:t>
      </w:r>
      <w:r>
        <w:t xml:space="preserve">El cliente tiene una barra inferior de cuatro pestañas: Inicio, Servicios, Actividad y Perfil. La pestaña activa se marca con el acento coral y lleva insignia cuando hay notificaciones. El maestro tiene una barra inferior de cinco pestañas: Inicio, Solicitudes, Agenda, Ganancias y Perfil, con los mismos componentes base. El cambio de rol entre cliente y maestro es un punto de entrada claro, no una pestaña más.</w:t>
      </w:r>
    </w:p>
    <w:p>
      <w:pPr>
        <w:pStyle w:val="BodyText"/>
      </w:pPr>
      <w:r>
        <w:rPr>
          <w:b/>
          <w:bCs/>
        </w:rPr>
        <w:t xml:space="preserve">Menú del panel.</w:t>
      </w:r>
      <w:r>
        <w:t xml:space="preserve"> </w:t>
      </w:r>
      <w:r>
        <w:t xml:space="preserve">La torre de control usa una navegación lateral fija a la izquierda, propia de una aplicación web de escritorio, con mayor densidad de información (tablas, filtros, tableros). Usa los mismos nombres de estado del servicio y de las disputas que la app, sin sinónimos.</w:t>
      </w:r>
    </w:p>
    <w:bookmarkEnd w:id="26"/>
    <w:bookmarkStart w:id="27" w:name="estados-de-la-interfaz"/>
    <w:p>
      <w:pPr>
        <w:pStyle w:val="Heading3"/>
      </w:pPr>
      <w:r>
        <w:t xml:space="preserve">Estados de la interfaz</w:t>
      </w:r>
    </w:p>
    <w:p>
      <w:pPr>
        <w:pStyle w:val="FirstParagraph"/>
      </w:pPr>
      <w:r>
        <w:rPr>
          <w:b/>
          <w:bCs/>
        </w:rPr>
        <w:t xml:space="preserve">Carga y vacío.</w:t>
      </w:r>
      <w:r>
        <w:t xml:space="preserve"> </w:t>
      </w:r>
      <w:r>
        <w:t xml:space="preserve">El estado de carga usa marcadores de posición (esqueletos) o un indicador sutil; los datos críticos nunca quedan en blanco sin explicación. El estado vacío combina una ilustración simple con un texto orientador (</w:t>
      </w:r>
      <w:r>
        <w:t xml:space="preserve">“Aún no tienes servicios”</w:t>
      </w:r>
      <w:r>
        <w:t xml:space="preserve">); si un maestro no tiene reseñas, la sección se omite sin dejar un hueco.</w:t>
      </w:r>
    </w:p>
    <w:p>
      <w:pPr>
        <w:pStyle w:val="BodyText"/>
      </w:pPr>
      <w:r>
        <w:rPr>
          <w:b/>
          <w:bCs/>
        </w:rPr>
        <w:t xml:space="preserve">Error, éxito y deshabilitado.</w:t>
      </w:r>
      <w:r>
        <w:t xml:space="preserve"> </w:t>
      </w:r>
      <w:r>
        <w:t xml:space="preserve">El estado de error muestra un mensaje con causa y acción de recuperación, nunca solo un color rojo ni un código técnico; si falla un envío, lo escrito se conserva y se ofrece reintentar. El estado de éxito es una confirmación breve no bloqueante, o la animación del Sello RELWO estampándose al cerrar un servicio. El estado deshabilitado combina reducción de contraste con una señal clara de que no se puede usar; la opacidad nunca es el único indicador.</w:t>
      </w:r>
    </w:p>
    <w:p>
      <w:pPr>
        <w:pStyle w:val="BodyText"/>
      </w:pPr>
      <w:r>
        <w:rPr>
          <w:b/>
          <w:bCs/>
        </w:rPr>
        <w:t xml:space="preserve">Mensajes.</w:t>
      </w:r>
      <w:r>
        <w:t xml:space="preserve"> </w:t>
      </w:r>
      <w:r>
        <w:t xml:space="preserve">Hay avisos breves para confirmaciones (interés registrado, hogar guardado); cajas ámbar para condiciones que afectan el precio o el flujo, como el recargo por urgencia, y diálogos de confirmación para acciones económicas o irreversibles (aceptar el monto en terreno, aprobar un gasto, cancelar).</w:t>
      </w:r>
    </w:p>
    <w:bookmarkEnd w:id="27"/>
    <w:bookmarkStart w:id="28" w:name="mapas-y-fotografías"/>
    <w:p>
      <w:pPr>
        <w:pStyle w:val="Heading3"/>
      </w:pPr>
      <w:r>
        <w:t xml:space="preserve">Mapas y fotografías</w:t>
      </w:r>
    </w:p>
    <w:p>
      <w:pPr>
        <w:pStyle w:val="FirstParagraph"/>
      </w:pPr>
      <w:r>
        <w:rPr>
          <w:b/>
          <w:bCs/>
        </w:rPr>
        <w:t xml:space="preserve">Mapas.</w:t>
      </w:r>
      <w:r>
        <w:t xml:space="preserve"> </w:t>
      </w:r>
      <w:r>
        <w:t xml:space="preserve">El inicio no lleva mapa. Hay un mapa para confirmar la ubicación del hogar, con su halo de cobertura, y un mapa del día del servicio con la posición del maestro por eventos de estado y, mientras va en camino, su última posición, sin guardar el recorrido. En modo oscuro el mapa se oscurece.</w:t>
      </w:r>
    </w:p>
    <w:p>
      <w:pPr>
        <w:pStyle w:val="BodyText"/>
      </w:pPr>
      <w:r>
        <w:rPr>
          <w:b/>
          <w:bCs/>
        </w:rPr>
        <w:t xml:space="preserve">Fotografías.</w:t>
      </w:r>
      <w:r>
        <w:t xml:space="preserve"> </w:t>
      </w:r>
      <w:r>
        <w:t xml:space="preserve">El recuadro de carga lleva un ícono de cámara y un texto que orienta (</w:t>
      </w:r>
      <w:r>
        <w:t xml:space="preserve">“Agregar foto ayuda a cotizar mejor”</w:t>
      </w:r>
      <w:r>
        <w:t xml:space="preserve">); la foto se presenta como recomendada, nunca como opcional. La foto de término se muestra con autor y hora, sin marcas de agua.</w:t>
      </w:r>
    </w:p>
    <w:bookmarkEnd w:id="28"/>
    <w:bookmarkEnd w:id="29"/>
    <w:bookmarkStart w:id="32" w:name="pantallas-clave"/>
    <w:p>
      <w:pPr>
        <w:pStyle w:val="Heading1"/>
      </w:pPr>
      <w:r>
        <w:t xml:space="preserve">5. Pantallas clave</w:t>
      </w:r>
    </w:p>
    <w:p>
      <w:pPr>
        <w:pStyle w:val="FirstParagraph"/>
      </w:pPr>
      <w:r>
        <w:t xml:space="preserve">El prototipo v2.2 dibuja cada pantalla del cliente y del maestro. Esta sección destaca las que concentran las decisiones de diseño más importantes del flujo central.</w:t>
      </w:r>
    </w:p>
    <w:bookmarkStart w:id="30" w:name="pantallas-del-cliente"/>
    <w:p>
      <w:pPr>
        <w:pStyle w:val="Heading3"/>
      </w:pPr>
      <w:r>
        <w:t xml:space="preserve">Pantallas del cliente</w:t>
      </w:r>
    </w:p>
    <w:p>
      <w:pPr>
        <w:pStyle w:val="FirstParagraph"/>
      </w:pPr>
      <w:r>
        <w:rPr>
          <w:b/>
          <w:bCs/>
        </w:rPr>
        <w:t xml:space="preserve">Bienvenida y acceso (cliente y maestro).</w:t>
      </w:r>
      <w:r>
        <w:t xml:space="preserve"> </w:t>
      </w:r>
      <w:r>
        <w:t xml:space="preserve">Presenta la marca y permite registrarse, iniciar sesión o recuperar la contraseña. Muestra fondo azul noche con el logotipo, botón primario, acceso con correo o con cuenta de terceros, y errores con siguiente paso.</w:t>
      </w:r>
    </w:p>
    <w:p>
      <w:pPr>
        <w:pStyle w:val="BodyText"/>
      </w:pPr>
      <w:r>
        <w:rPr>
          <w:b/>
          <w:bCs/>
        </w:rPr>
        <w:t xml:space="preserve">Inicio (selector de servicio).</w:t>
      </w:r>
      <w:r>
        <w:t xml:space="preserve"> </w:t>
      </w:r>
      <w:r>
        <w:t xml:space="preserve">Permite al cliente elegir qué servicio pedir, cambiar de comuna y acceder a la emergencia. Muestra la comuna activa, un acceso destacado a emergencia, las tarjetas de limpieza, gasfitería y cerrajería con sus modalidades, la sección</w:t>
      </w:r>
      <w:r>
        <w:t xml:space="preserve"> </w:t>
      </w:r>
      <w:r>
        <w:t xml:space="preserve">“Próximamente”</w:t>
      </w:r>
      <w:r>
        <w:t xml:space="preserve"> </w:t>
      </w:r>
      <w:r>
        <w:t xml:space="preserve">con candado y la tarjeta de próximo servicio.</w:t>
      </w:r>
    </w:p>
    <w:p>
      <w:pPr>
        <w:pStyle w:val="BodyText"/>
      </w:pPr>
      <w:r>
        <w:rPr>
          <w:b/>
          <w:bCs/>
        </w:rPr>
        <w:t xml:space="preserve">Detalle de la solicitud.</w:t>
      </w:r>
      <w:r>
        <w:t xml:space="preserve"> </w:t>
      </w:r>
      <w:r>
        <w:t xml:space="preserve">Sirve para describir lo que se necesita con detalle suficiente para que los maestros coticen. En limpieza tiene el formulario de ambientes con cantidades y chips de frecuencia; en gasfitería y cerrajería, texto libre y foto recomendada. Incluye chips de momento (hoy, mañana, agendar) y el aviso ámbar de recargo por urgencia, sin barra de precio.</w:t>
      </w:r>
    </w:p>
    <w:p>
      <w:pPr>
        <w:pStyle w:val="BodyText"/>
      </w:pPr>
      <w:r>
        <w:rPr>
          <w:b/>
          <w:bCs/>
        </w:rPr>
        <w:t xml:space="preserve">Tarjeta registrada.</w:t>
      </w:r>
      <w:r>
        <w:t xml:space="preserve"> </w:t>
      </w:r>
      <w:r>
        <w:t xml:space="preserve">Permite registrar un medio de pago antes de la primera solicitud, sin cobrar. Explica por qué se pide, incluye el formulario de la pasarela de pago y confirma que no hay cargo.</w:t>
      </w:r>
    </w:p>
    <w:p>
      <w:pPr>
        <w:pStyle w:val="BodyText"/>
      </w:pPr>
      <w:r>
        <w:rPr>
          <w:b/>
          <w:bCs/>
        </w:rPr>
        <w:t xml:space="preserve">Ofertas en vivo y detalle de la oferta.</w:t>
      </w:r>
      <w:r>
        <w:t xml:space="preserve"> </w:t>
      </w:r>
      <w:r>
        <w:t xml:space="preserve">El cliente compara las ofertas que responden a la solicitud y elige una, sin pagar todavía. La lista muestra las dos cifras, el maestro, su calificación, servicios y distancia; la tarjeta expandida agrega el desglose, las capas de confianza con fecha, el Sello RELWO, las reseñas y el botón</w:t>
      </w:r>
      <w:r>
        <w:t xml:space="preserve"> </w:t>
      </w:r>
      <w:r>
        <w:t xml:space="preserve">“Elegir esta oferta”</w:t>
      </w:r>
      <w:r>
        <w:t xml:space="preserve">.</w:t>
      </w:r>
    </w:p>
    <w:p>
      <w:pPr>
        <w:pStyle w:val="BodyText"/>
      </w:pPr>
      <w:r>
        <w:rPr>
          <w:b/>
          <w:bCs/>
        </w:rPr>
        <w:t xml:space="preserve">Día del servicio.</w:t>
      </w:r>
      <w:r>
        <w:t xml:space="preserve"> </w:t>
      </w:r>
      <w:r>
        <w:t xml:space="preserve">El cliente sigue el avance del maestro y el estado del pago en custodia. La pantalla tiene un mapa con la posición aproximada del maestro y el hogar, una línea de tiempo de cinco pasos, botones de mensaje y llamada, y</w:t>
      </w:r>
      <w:r>
        <w:t xml:space="preserve"> </w:t>
      </w:r>
      <w:r>
        <w:t xml:space="preserve">“Tuve un problema”</w:t>
      </w:r>
      <w:r>
        <w:t xml:space="preserve"> </w:t>
      </w:r>
      <w:r>
        <w:t xml:space="preserve">siempre visible.</w:t>
      </w:r>
    </w:p>
    <w:p>
      <w:pPr>
        <w:pStyle w:val="BodyText"/>
      </w:pPr>
      <w:r>
        <w:rPr>
          <w:b/>
          <w:bCs/>
        </w:rPr>
        <w:t xml:space="preserve">Aceptar el monto cotizado en terreno.</w:t>
      </w:r>
      <w:r>
        <w:t xml:space="preserve"> </w:t>
      </w:r>
      <w:r>
        <w:t xml:space="preserve">El cliente aprueba el monto definitivo tras el diagnóstico, que es el único cobro. Ve el nombre y la foto del maestro, el monto con desglose, el valor ofertado junto al definitivo si cambió y un diálogo de confirmación; al rechazar, ve la tarifa de visita que se cobrará.</w:t>
      </w:r>
    </w:p>
    <w:bookmarkEnd w:id="30"/>
    <w:bookmarkStart w:id="31" w:name="pantallas-compartidas-y-del-maestro"/>
    <w:p>
      <w:pPr>
        <w:pStyle w:val="Heading3"/>
      </w:pPr>
      <w:r>
        <w:t xml:space="preserve">Pantallas compartidas y del maestro</w:t>
      </w:r>
    </w:p>
    <w:p>
      <w:pPr>
        <w:pStyle w:val="FirstParagraph"/>
      </w:pPr>
      <w:r>
        <w:rPr>
          <w:b/>
          <w:bCs/>
        </w:rPr>
        <w:t xml:space="preserve">Cierre seguro y finalizar servicio (cliente y maestro).</w:t>
      </w:r>
      <w:r>
        <w:t xml:space="preserve"> </w:t>
      </w:r>
      <w:r>
        <w:t xml:space="preserve">Cierra el servicio con doble verificación: código más evidencia. El cliente ve su código de tres dígitos en grande y espera; el maestro sube la foto de término y escribe el código, con tres intentos. Al cerrar aparece la animación del Sello RELWO y</w:t>
      </w:r>
      <w:r>
        <w:t xml:space="preserve"> </w:t>
      </w:r>
      <w:r>
        <w:t xml:space="preserve">“pago liberado”</w:t>
      </w:r>
      <w:r>
        <w:t xml:space="preserve">.</w:t>
      </w:r>
    </w:p>
    <w:p>
      <w:pPr>
        <w:pStyle w:val="BodyText"/>
      </w:pPr>
      <w:r>
        <w:rPr>
          <w:b/>
          <w:bCs/>
        </w:rPr>
        <w:t xml:space="preserve">Bandeja de solicitudes y ofertar.</w:t>
      </w:r>
      <w:r>
        <w:t xml:space="preserve"> </w:t>
      </w:r>
      <w:r>
        <w:t xml:space="preserve">El maestro ve las publicaciones que calzan con su perfil y cotiza en un paso. Ve el detalle íntegro de la solicitud sin dirección ni contacto, la reputación del cliente y el formulario con valor estimado y tarifa de visita, con el neto a recibir antes de enviar.</w:t>
      </w:r>
    </w:p>
    <w:p>
      <w:pPr>
        <w:pStyle w:val="BodyText"/>
      </w:pPr>
      <w:r>
        <w:rPr>
          <w:b/>
          <w:bCs/>
        </w:rPr>
        <w:t xml:space="preserve">Verificación y Sello RELWO.</w:t>
      </w:r>
      <w:r>
        <w:t xml:space="preserve"> </w:t>
      </w:r>
      <w:r>
        <w:t xml:space="preserve">El maestro sabe qué documentos faltan y cuáles ya fueron validados. La pantalla permite cargar identidad, antecedentes, referencias y certificaciones, muestra el estado de cada capa con fecha y el Sello RELWO cuando las tres están vigentes.</w:t>
      </w:r>
    </w:p>
    <w:p>
      <w:pPr>
        <w:pStyle w:val="BodyText"/>
      </w:pPr>
      <w:r>
        <w:t xml:space="preserve">El inventario del prototipo v2.2 suma 57 pantallas. Su numeración principal distingue seis pantallas de acceso compartidas por ambos roles, veintiuna del cliente y trece del maestro; las diecisiete restantes son variantes, como la solicitud de gasfitería y la de cerrajería, las dos pantallas de emergencia, la secuencia de autorización en terreno del maestro y el aviso de bloqueo temporal. La torre de control no tiene pantallas en el prototipo: su diseño detallado quedó como decisión pendiente del equipo y se resolvió durante la construcción, reutilizando la paleta y los nombres de estado de la app. La cuenta de pantallas construidas al cierre del Sprint 7 está en las actas de cada sprint, no en este documento.</w:t>
      </w:r>
    </w:p>
    <w:bookmarkEnd w:id="31"/>
    <w:bookmarkEnd w:id="32"/>
    <w:bookmarkStart w:id="33" w:name="modo-claro-y-modo-oscuro"/>
    <w:p>
      <w:pPr>
        <w:pStyle w:val="Heading1"/>
      </w:pPr>
      <w:r>
        <w:t xml:space="preserve">6. Modo claro y modo oscuro</w:t>
      </w:r>
    </w:p>
    <w:p>
      <w:pPr>
        <w:pStyle w:val="FirstParagraph"/>
      </w:pPr>
      <w:r>
        <w:t xml:space="preserve">Relwo cuenta con modo oscuro desde la arquitectura visual inicial, no como un agregado de última hora: el prototipo v2.2 define los dos temas completos. El modo claro es el predeterminado; el oscuro se activa según la configuración del teléfono, y el usuario puede forzar</w:t>
      </w:r>
      <w:r>
        <w:t xml:space="preserve"> </w:t>
      </w:r>
      <w:r>
        <w:t xml:space="preserve">“Claro”</w:t>
      </w:r>
      <w:r>
        <w:t xml:space="preserve">,</w:t>
      </w:r>
      <w:r>
        <w:t xml:space="preserve"> </w:t>
      </w:r>
      <w:r>
        <w:t xml:space="preserve">“Oscuro”</w:t>
      </w:r>
      <w:r>
        <w:t xml:space="preserve"> </w:t>
      </w:r>
      <w:r>
        <w:t xml:space="preserve">o</w:t>
      </w:r>
      <w:r>
        <w:t xml:space="preserve"> </w:t>
      </w:r>
      <w:r>
        <w:t xml:space="preserve">“Según el dispositivo”</w:t>
      </w:r>
      <w:r>
        <w:t xml:space="preserve"> </w:t>
      </w:r>
      <w:r>
        <w:t xml:space="preserve">desde su perfil. Los componentes cambian como conjunto: ningún botón, barra o modal puede quedar</w:t>
      </w:r>
      <w:r>
        <w:t xml:space="preserve"> </w:t>
      </w:r>
      <w:r>
        <w:t xml:space="preserve">“atrapado”</w:t>
      </w:r>
      <w:r>
        <w:t xml:space="preserve"> </w:t>
      </w:r>
      <w:r>
        <w:t xml:space="preserve">en el tema contrario. En oscuro, la elevación se representa con un tono de superficie más claro que el fondo, y nunca se usa negro puro.</w:t>
      </w:r>
    </w:p>
    <w:p>
      <w:pPr>
        <w:pStyle w:val="BodyText"/>
      </w:pPr>
      <w:r>
        <w:rPr>
          <w:b/>
          <w:bCs/>
        </w:rPr>
        <w:t xml:space="preserve">Fondo y superficies.</w:t>
      </w:r>
      <w:r>
        <w:t xml:space="preserve"> </w:t>
      </w:r>
      <w:r>
        <w:t xml:space="preserve">El fondo general es gris muy claro (F6F7FB) en modo claro y azul grisáceo muy oscuro (121827) en modo oscuro, nunca negro puro. Las tarjetas y superficies son blancas con sombra suave en claro; en oscuro se usan la superficie 1D2638 y la superficie elevada 263249, con elevación por tono y no por sombra.</w:t>
      </w:r>
    </w:p>
    <w:p>
      <w:pPr>
        <w:pStyle w:val="BodyText"/>
      </w:pPr>
      <w:r>
        <w:rPr>
          <w:b/>
          <w:bCs/>
        </w:rPr>
        <w:t xml:space="preserve">Texto y botón primario.</w:t>
      </w:r>
      <w:r>
        <w:t xml:space="preserve"> </w:t>
      </w:r>
      <w:r>
        <w:t xml:space="preserve">El texto principal es 202636 sobre fondo claro y F7F8FC sobre fondo oscuro. El botón primario usa el degradado 4CB944 a 1E6FE8 con texto blanco en claro, y un degradado más luminoso, 6CC644 a 3D7BFA, con texto blanco en oscuro.</w:t>
      </w:r>
    </w:p>
    <w:p>
      <w:pPr>
        <w:pStyle w:val="BodyText"/>
      </w:pPr>
      <w:r>
        <w:rPr>
          <w:b/>
          <w:bCs/>
        </w:rPr>
        <w:t xml:space="preserve">Mapas, fotografías y logotipo.</w:t>
      </w:r>
      <w:r>
        <w:t xml:space="preserve"> </w:t>
      </w:r>
      <w:r>
        <w:t xml:space="preserve">En modo claro el mapa es claro y las fotos van sin marco; en oscuro el mapa se oscurece y las fotos llevan marco de superficie oscura, sin halos blancos. El logotipo usa el isotipo con fondo transparente en claro, y en oscuro la versión horizontal con la palabra en blanco o el ícono sobre azul noche.</w:t>
      </w:r>
    </w:p>
    <w:p>
      <w:pPr>
        <w:pStyle w:val="BodyText"/>
      </w:pPr>
      <w:r>
        <w:t xml:space="preserve">Lo que el modo oscuro debe evitar quedó como lista de control: textos grises apenas legibles, un botón primario sin contraste con su texto o con el fondo, mapas excesivamente luminosos e imágenes con halos blancos.</w:t>
      </w:r>
    </w:p>
    <w:bookmarkEnd w:id="33"/>
    <w:bookmarkStart w:id="37" w:name="accesibilidad"/>
    <w:p>
      <w:pPr>
        <w:pStyle w:val="Heading1"/>
      </w:pPr>
      <w:r>
        <w:t xml:space="preserve">7. Accesibilidad</w:t>
      </w:r>
    </w:p>
    <w:p>
      <w:pPr>
        <w:pStyle w:val="FirstParagraph"/>
      </w:pPr>
      <w:r>
        <w:t xml:space="preserve">La accesibilidad fue el requisito transversal del diseño: una plataforma que pide confianza tiene que poder usarse por personas con distintas capacidades, en la calle y con una sola mano. A continuación se describen las reglas que el equipo de diseño fijó y que se revisan en cada pantalla.</w:t>
      </w:r>
    </w:p>
    <w:bookmarkStart w:id="34" w:name="contraste-texto-y-área-táctil"/>
    <w:p>
      <w:pPr>
        <w:pStyle w:val="Heading3"/>
      </w:pPr>
      <w:r>
        <w:t xml:space="preserve">Contraste, texto y área táctil</w:t>
      </w:r>
    </w:p>
    <w:p>
      <w:pPr>
        <w:pStyle w:val="FirstParagraph"/>
      </w:pPr>
      <w:r>
        <w:rPr>
          <w:b/>
          <w:bCs/>
        </w:rPr>
        <w:t xml:space="preserve">Contraste AA en ambos temas.</w:t>
      </w:r>
      <w:r>
        <w:t xml:space="preserve"> </w:t>
      </w:r>
      <w:r>
        <w:t xml:space="preserve">Todo texto y todo componente interactivo cumple el nivel AA de las pautas WCAG en modo claro y en modo oscuro. Cuando un color del prototipo no alcanzaba el contraste (como el ámbar de los avisos de urgencia), se oscureció en la app y se registró el ajuste.</w:t>
      </w:r>
    </w:p>
    <w:p>
      <w:pPr>
        <w:pStyle w:val="BodyText"/>
      </w:pPr>
      <w:r>
        <w:rPr>
          <w:b/>
          <w:bCs/>
        </w:rPr>
        <w:t xml:space="preserve">Texto escalable.</w:t>
      </w:r>
      <w:r>
        <w:t xml:space="preserve"> </w:t>
      </w:r>
      <w:r>
        <w:t xml:space="preserve">La app respeta el tamaño de fuente configurado en el teléfono. Tarjetas, chips y resumen de montos crecen con textos más largos sin cortar información.</w:t>
      </w:r>
    </w:p>
    <w:p>
      <w:pPr>
        <w:pStyle w:val="BodyText"/>
      </w:pPr>
      <w:r>
        <w:rPr>
          <w:b/>
          <w:bCs/>
        </w:rPr>
        <w:t xml:space="preserve">Área táctil de 44 píxeles.</w:t>
      </w:r>
      <w:r>
        <w:t xml:space="preserve"> </w:t>
      </w:r>
      <w:r>
        <w:t xml:space="preserve">Botones, chips, casillas del código y pasos de cantidad tienen al menos 44 píxeles de zona táctil, aunque se dibujen más pequeños.</w:t>
      </w:r>
    </w:p>
    <w:bookmarkEnd w:id="34"/>
    <w:bookmarkStart w:id="35" w:name="lectores-de-pantalla-y-estados"/>
    <w:p>
      <w:pPr>
        <w:pStyle w:val="Heading3"/>
      </w:pPr>
      <w:r>
        <w:t xml:space="preserve">Lectores de pantalla y estados</w:t>
      </w:r>
    </w:p>
    <w:p>
      <w:pPr>
        <w:pStyle w:val="FirstParagraph"/>
      </w:pPr>
      <w:r>
        <w:rPr>
          <w:b/>
          <w:bCs/>
        </w:rPr>
        <w:t xml:space="preserve">Lectores de pantalla.</w:t>
      </w:r>
      <w:r>
        <w:t xml:space="preserve"> </w:t>
      </w:r>
      <w:r>
        <w:t xml:space="preserve">Cada elemento tiene una etiqueta semántica para los lectores de pantalla de Android y de iOS. El total de ambientes se anuncia al cambiar una cantidad, cada dígito del código de cierre se lee en orden y cada paso de la línea de tiempo tiene su equivalente en texto.</w:t>
      </w:r>
    </w:p>
    <w:p>
      <w:pPr>
        <w:pStyle w:val="BodyText"/>
      </w:pPr>
      <w:r>
        <w:rPr>
          <w:b/>
          <w:bCs/>
        </w:rPr>
        <w:t xml:space="preserve">Los estados no dependen solo del color.</w:t>
      </w:r>
      <w:r>
        <w:t xml:space="preserve"> </w:t>
      </w:r>
      <w:r>
        <w:t xml:space="preserve">Activo o próximamente, verificado o pendiente, éxito o error: todos llevan texto o ícono además del color. El recargo por urgencia se anuncia en palabras, no solo con el fondo ámbar.</w:t>
      </w:r>
    </w:p>
    <w:p>
      <w:pPr>
        <w:pStyle w:val="BodyText"/>
      </w:pPr>
      <w:r>
        <w:rPr>
          <w:b/>
          <w:bCs/>
        </w:rPr>
        <w:t xml:space="preserve">Mensajes de error descriptivos.</w:t>
      </w:r>
      <w:r>
        <w:t xml:space="preserve"> </w:t>
      </w:r>
      <w:r>
        <w:t xml:space="preserve">Indican la causa y el siguiente paso; nunca solo un código técnico.</w:t>
      </w:r>
    </w:p>
    <w:bookmarkEnd w:id="35"/>
    <w:bookmarkStart w:id="36" w:name="teclado-movimiento-y-pruebas"/>
    <w:p>
      <w:pPr>
        <w:pStyle w:val="Heading3"/>
      </w:pPr>
      <w:r>
        <w:t xml:space="preserve">Teclado, movimiento y pruebas</w:t>
      </w:r>
    </w:p>
    <w:p>
      <w:pPr>
        <w:pStyle w:val="FirstParagraph"/>
      </w:pPr>
      <w:r>
        <w:rPr>
          <w:b/>
          <w:bCs/>
        </w:rPr>
        <w:t xml:space="preserve">Foco visible.</w:t>
      </w:r>
      <w:r>
        <w:t xml:space="preserve"> </w:t>
      </w:r>
      <w:r>
        <w:t xml:space="preserve">En la torre de control, que se opera con teclado y mouse, el elemento enfocado se distingue de forma clara y consistente en todas las pantallas.</w:t>
      </w:r>
    </w:p>
    <w:p>
      <w:pPr>
        <w:pStyle w:val="BodyText"/>
      </w:pPr>
      <w:r>
        <w:rPr>
          <w:b/>
          <w:bCs/>
        </w:rPr>
        <w:t xml:space="preserve">Reducción de movimiento.</w:t>
      </w:r>
      <w:r>
        <w:t xml:space="preserve"> </w:t>
      </w:r>
      <w:r>
        <w:t xml:space="preserve">Cuando el sistema operativo lo solicita, las animaciones (incluida la del Sello RELWO al cerrar un servicio) tienen una alternativa reducida.</w:t>
      </w:r>
    </w:p>
    <w:p>
      <w:pPr>
        <w:pStyle w:val="BodyText"/>
      </w:pPr>
      <w:r>
        <w:rPr>
          <w:b/>
          <w:bCs/>
        </w:rPr>
        <w:t xml:space="preserve">Pruebas de recorrido.</w:t>
      </w:r>
      <w:r>
        <w:t xml:space="preserve"> </w:t>
      </w:r>
      <w:r>
        <w:t xml:space="preserve">La pauta de revisión de cada pantalla crítica incluye recorrerla completa con el teclado en el panel y con el lector de pantalla en el teléfono, verificando que se llegue a cada acción y se entienda cada estado sin mirar la pantalla.</w:t>
      </w:r>
    </w:p>
    <w:bookmarkEnd w:id="36"/>
    <w:bookmarkEnd w:id="37"/>
    <w:bookmarkStart w:id="38" w:name="plataformas-y-diseño-adaptable"/>
    <w:p>
      <w:pPr>
        <w:pStyle w:val="Heading1"/>
      </w:pPr>
      <w:r>
        <w:t xml:space="preserve">8. Plataformas y diseño adaptable</w:t>
      </w:r>
    </w:p>
    <w:p>
      <w:pPr>
        <w:pStyle w:val="FirstParagraph"/>
      </w:pPr>
      <w:r>
        <w:t xml:space="preserve">La app móvil se construye para</w:t>
      </w:r>
      <w:r>
        <w:t xml:space="preserve"> </w:t>
      </w:r>
      <w:r>
        <w:rPr>
          <w:b/>
          <w:bCs/>
        </w:rPr>
        <w:t xml:space="preserve">Android</w:t>
      </w:r>
      <w:r>
        <w:t xml:space="preserve"> </w:t>
      </w:r>
      <w:r>
        <w:t xml:space="preserve">e</w:t>
      </w:r>
      <w:r>
        <w:t xml:space="preserve"> </w:t>
      </w:r>
      <w:r>
        <w:rPr>
          <w:b/>
          <w:bCs/>
        </w:rPr>
        <w:t xml:space="preserve">iOS</w:t>
      </w:r>
      <w:r>
        <w:t xml:space="preserve">, con distribución en modo de prueba por los canales internos de cada tienda desde el primer mes. La compatibilidad con dispositivos Huawei se evaluó, pero su alcance quedó como decisión pendiente del equipo. Las interacciones respetan los patrones de cada plataforma (gesto de retroceso, comportamiento del teclado) sin perder la identidad visual de Relwo.</w:t>
      </w:r>
    </w:p>
    <w:p>
      <w:pPr>
        <w:pStyle w:val="BodyText"/>
      </w:pPr>
      <w:r>
        <w:t xml:space="preserve">La</w:t>
      </w:r>
      <w:r>
        <w:t xml:space="preserve"> </w:t>
      </w:r>
      <w:r>
        <w:rPr>
          <w:b/>
          <w:bCs/>
        </w:rPr>
        <w:t xml:space="preserve">torre de control</w:t>
      </w:r>
      <w:r>
        <w:t xml:space="preserve"> </w:t>
      </w:r>
      <w:r>
        <w:t xml:space="preserve">es una aplicación web pensada para el escritorio, que también debe funcionar en tablet y en el teléfono del administrador, adaptando la densidad de tablas y filtros sin perder funciones críticas. No es una versión web para clientes, que está fuera del alcance de la primera versión.</w:t>
      </w:r>
    </w:p>
    <w:p>
      <w:pPr>
        <w:pStyle w:val="BodyText"/>
      </w:pPr>
      <w:r>
        <w:t xml:space="preserve">La referencia de diseño de la app es una pantalla de</w:t>
      </w:r>
      <w:r>
        <w:t xml:space="preserve"> </w:t>
      </w:r>
      <w:r>
        <w:rPr>
          <w:b/>
          <w:bCs/>
        </w:rPr>
        <w:t xml:space="preserve">390 por 844 píxeles</w:t>
      </w:r>
      <w:r>
        <w:t xml:space="preserve"> </w:t>
      </w:r>
      <w:r>
        <w:t xml:space="preserve">en orientación vertical: a esa medida se dibujó el prototipo y contra ella se revisa cada pantalla. Ningún tamaño distinto de la referencia puede recortar información ni dejar un elemento accionable bajo los 44 píxeles. Las tecnologías con que se construyó este diseño son Flutter para la app móvil y Angular para el panel; el resto de la plataforma se describe en el Documento de Arquitectura.</w:t>
      </w:r>
    </w:p>
    <w:bookmarkEnd w:id="38"/>
    <w:bookmarkStart w:id="39" w:name="criterios-de-aceptación-visual"/>
    <w:p>
      <w:pPr>
        <w:pStyle w:val="Heading1"/>
      </w:pPr>
      <w:r>
        <w:t xml:space="preserve">9. Criterios de aceptación visual</w:t>
      </w:r>
    </w:p>
    <w:p>
      <w:pPr>
        <w:pStyle w:val="FirstParagraph"/>
      </w:pPr>
      <w:r>
        <w:t xml:space="preserve">Estos criterios son los que el equipo aplica al revisar una pantalla construida. Todos son verificables mirando el producto, sin leer código.</w:t>
      </w:r>
    </w:p>
    <w:p>
      <w:pPr>
        <w:pStyle w:val="BodyText"/>
      </w:pPr>
      <w:r>
        <w:rPr>
          <w:b/>
          <w:bCs/>
        </w:rPr>
        <w:t xml:space="preserve">Fidelidad al prototipo y a la marca.</w:t>
      </w:r>
      <w:r>
        <w:t xml:space="preserve"> </w:t>
      </w:r>
      <w:r>
        <w:t xml:space="preserve">Cada pantalla construida se reconoce en su equivalente del prototipo v2.2: identidad, componentes y semántica de color coinciden, y toda desviación está anotada y acordada. El logotipo aparece sin deformación, recoloreo ni efectos adicionales, en la variante correcta para el fondo. Un mismo componente (botón, tarjeta, chip) se ve y se comporta igual en todas las pantallas donde aparece. El botón primario usa el degradado verde-azul con texto blanco; el coral aparece solo como acento.</w:t>
      </w:r>
    </w:p>
    <w:p>
      <w:pPr>
        <w:pStyle w:val="BodyText"/>
      </w:pPr>
      <w:r>
        <w:rPr>
          <w:b/>
          <w:bCs/>
        </w:rPr>
        <w:t xml:space="preserve">Flujo y temas.</w:t>
      </w:r>
      <w:r>
        <w:t xml:space="preserve"> </w:t>
      </w:r>
      <w:r>
        <w:t xml:space="preserve">El botón</w:t>
      </w:r>
      <w:r>
        <w:t xml:space="preserve"> </w:t>
      </w:r>
      <w:r>
        <w:t xml:space="preserve">“Tuve un problema”</w:t>
      </w:r>
      <w:r>
        <w:t xml:space="preserve"> </w:t>
      </w:r>
      <w:r>
        <w:t xml:space="preserve">está visible, habilitado y del mismo tamaño que el primario en las pantallas de servicio en curso y de aprobación del término. Ninguna pantalla del recorrido de solicitud muestra un monto antes de enviar la solicitud. El modo claro y el modo oscuro funcionan completos, sin componentes atrapados en el tema contrario.</w:t>
      </w:r>
    </w:p>
    <w:p>
      <w:pPr>
        <w:pStyle w:val="BodyText"/>
      </w:pPr>
      <w:r>
        <w:rPr>
          <w:b/>
          <w:bCs/>
        </w:rPr>
        <w:t xml:space="preserve">Calidad de la revisión.</w:t>
      </w:r>
      <w:r>
        <w:t xml:space="preserve"> </w:t>
      </w:r>
      <w:r>
        <w:t xml:space="preserve">El contraste AA está verificado en ambos temas, con una herramienta de medición, en texto y en componentes interactivos. Los estados de carga, vacío, error y éxito están diseñados y visibles en cada pantalla crítica, no solo el camino feliz. Toda zona accionable mide al menos 44 píxeles y todo espaciado respeta la retícula de 8. No hay textos cortados de forma no intencional en los tamaños de pantalla más comunes ni con el tamaño de fuente del sistema aumentado. Un usuario nuevo completa el flujo de solicitud de limpieza sin ayuda externa y en menos de dos minutos.</w:t>
      </w:r>
    </w:p>
    <w:bookmarkEnd w:id="39"/>
    <w:bookmarkStart w:id="40" w:name="cómo-evolucionó-el-diseño"/>
    <w:p>
      <w:pPr>
        <w:pStyle w:val="Heading1"/>
      </w:pPr>
      <w:r>
        <w:t xml:space="preserve">10. Cómo evolucionó el diseño</w:t>
      </w:r>
    </w:p>
    <w:p>
      <w:pPr>
        <w:pStyle w:val="FirstParagraph"/>
      </w:pPr>
      <w:r>
        <w:t xml:space="preserve">El diseño partió en julio de 2026 con un mockup de siete pantallas que fijó el concepto de marca y la primera paleta. El 7 de agosto el equipo de diseño entregó el primer prototipo navegable, de 38 pantallas, que pasó a mandar sobre los documentos escritos en lo visual y en el flujo; esa misma semana el inicio pasó a ser el selector de servicio y la pantalla de solicitud perdió el precio en vivo. Los cambios de alcance de fines de agosto y comienzos de septiembre, la publicación con multioferta y el cobro único después del diagnóstico, obligaron a rediseñar el centro del flujo: la espera se convirtió en una lista de ofertas en vivo, apareció la pantalla de aceptar el monto cotizado en terreno y se sumaron las pantallas del maestro para ofertar, pedir autorización y declarar gastos. El 5 de septiembre se validó la paleta y se resolvió que el botón de reclamo convive siempre con el primario. Las versiones 2.1 (17 de septiembre) y 2.2 (24 de septiembre) del prototipo integraron todo eso en 57 pantallas, con el logotipo vigente y el degradado verde-azul como acción principal. Desde entonces, la revisión visual en navegador y en teléfono, comparando cada pantalla construida con su equivalente del prototipo, forma parte del cierre de cada sprint, y las diferencias se documentan en lugar de aplicarse en silencio.</w:t>
      </w:r>
    </w:p>
    <w:bookmarkEnd w:id="40"/>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2026-10-19T18:40:33Z</dcterms:created>
  <dcterms:modified xsi:type="dcterms:W3CDTF">2026-10-19T18:40:33Z</dcterms:modified>
</cp:coreProperties>
</file>

<file path=docProps/custom.xml><?xml version="1.0" encoding="utf-8"?>
<Properties xmlns="http://schemas.openxmlformats.org/officeDocument/2006/custom-properties" xmlns:vt="http://schemas.openxmlformats.org/officeDocument/2006/docPropsVTypes"/>
</file>