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
          <w:bCs/>
        </w:rPr>
        <w:t xml:space="preserve">RELWO</w:t>
      </w:r>
    </w:p>
    <w:p>
      <w:pPr>
        <w:pStyle w:val="BodyText"/>
      </w:pPr>
      <w:r>
        <w:t xml:space="preserve">Plataforma de servicios a domicilio con pago en custodia</w:t>
      </w:r>
    </w:p>
    <w:p>
      <w:pPr>
        <w:pStyle w:val="BodyText"/>
      </w:pPr>
      <w:r>
        <w:rPr>
          <w:b/>
          <w:bCs/>
        </w:rPr>
        <w:t xml:space="preserve">Documento de Visión</w:t>
      </w:r>
    </w:p>
    <w:p>
      <w:pPr>
        <w:pStyle w:val="BodyText"/>
      </w:pPr>
      <w:r>
        <w:t xml:space="preserve">Visión del producto, problema, interesados, alcance del MVP, metodología y criterios de éxito</w:t>
      </w:r>
    </w:p>
    <w:p>
      <w:pPr>
        <w:pStyle w:val="BodyText"/>
      </w:pPr>
      <w:r>
        <w:rPr>
          <w:b/>
          <w:bCs/>
        </w:rPr>
        <w:t xml:space="preserve">Asignatura:</w:t>
      </w:r>
      <w:r>
        <w:t xml:space="preserve"> </w:t>
      </w:r>
      <w:r>
        <w:t xml:space="preserve">Portafolio de Título (Capstone) — PTY4614</w:t>
      </w:r>
    </w:p>
    <w:p>
      <w:pPr>
        <w:pStyle w:val="BodyText"/>
      </w:pPr>
      <w:r>
        <w:rPr>
          <w:b/>
          <w:bCs/>
        </w:rPr>
        <w:t xml:space="preserve">Carrera:</w:t>
      </w:r>
      <w:r>
        <w:t xml:space="preserve"> </w:t>
      </w:r>
      <w:r>
        <w:t xml:space="preserve">Ingeniería en Informática — Duoc UC, Sede Plaza Norte</w:t>
      </w:r>
    </w:p>
    <w:p>
      <w:pPr>
        <w:pStyle w:val="BodyText"/>
      </w:pPr>
      <w:r>
        <w:rPr>
          <w:b/>
          <w:bCs/>
        </w:rPr>
        <w:t xml:space="preserve">Equipo:</w:t>
      </w:r>
      <w:r>
        <w:t xml:space="preserve"> </w:t>
      </w:r>
      <w:r>
        <w:t xml:space="preserve">Mauricio Poblete · Tania Sáez · Nayareth Suárez</w:t>
      </w:r>
    </w:p>
    <w:p>
      <w:pPr>
        <w:pStyle w:val="BodyText"/>
      </w:pPr>
      <w:r>
        <w:rPr>
          <w:b/>
          <w:bCs/>
        </w:rPr>
        <w:t xml:space="preserve">Fase:</w:t>
      </w:r>
      <w:r>
        <w:t xml:space="preserve"> </w:t>
      </w:r>
      <w:r>
        <w:t xml:space="preserve">Fase 2 — Desarrollo y ejecución</w:t>
      </w:r>
    </w:p>
    <w:p>
      <w:pPr>
        <w:pStyle w:val="BodyText"/>
      </w:pPr>
      <w:r>
        <w:rPr>
          <w:b/>
          <w:bCs/>
        </w:rPr>
        <w:t xml:space="preserve">Fecha:</w:t>
      </w:r>
      <w:r>
        <w:t xml:space="preserve"> </w:t>
      </w:r>
      <w:r>
        <w:t xml:space="preserve">19 de octubre de 2026</w:t>
      </w:r>
    </w:p>
    <w:p>
      <w:pPr>
        <w:pStyle w:val="BodyText"/>
      </w:pPr>
      <w:r>
        <w:rPr>
          <w:b/>
          <w:bCs/>
        </w:rPr>
        <w:t xml:space="preserve">Estado:</w:t>
      </w:r>
      <w:r>
        <w:t xml:space="preserve"> </w:t>
      </w:r>
      <w:r>
        <w:t xml:space="preserve">Al cierre del Sprint 7; Sprint 8 en curso</w:t>
      </w:r>
    </w:p>
    <w:p>
      <w:r>
        <w:br w:type="page"/>
      </w:r>
    </w:p>
    <w:bookmarkStart w:id="19" w:name="propósito-del-documento"/>
    <w:p>
      <w:pPr>
        <w:pStyle w:val="Heading1"/>
      </w:pPr>
      <w:r>
        <w:t xml:space="preserve">1. Propósito del documento</w:t>
      </w:r>
    </w:p>
    <w:p>
      <w:pPr>
        <w:pStyle w:val="FirstParagraph"/>
      </w:pPr>
      <w:r>
        <w:t xml:space="preserve">Este documento resume en pocas páginas la visión de</w:t>
      </w:r>
      <w:r>
        <w:t xml:space="preserve"> </w:t>
      </w:r>
      <w:r>
        <w:rPr>
          <w:b/>
          <w:bCs/>
        </w:rPr>
        <w:t xml:space="preserve">Relwo</w:t>
      </w:r>
      <w:r>
        <w:t xml:space="preserve">: qué problema resuelve, para quién, qué incluye el producto mínimo viable (MVP) y cómo sabremos si lo logramos. Es la referencia común del equipo y del Product Owner al priorizar el Product Backlog. El detalle funcional está en la Especificación de Requerimientos y el detalle técnico en el Documento de Arquitectura; este documento no los reemplaza.</w:t>
      </w:r>
    </w:p>
    <w:bookmarkEnd w:id="19"/>
    <w:bookmarkStart w:id="20" w:name="declaración-de-la-visión"/>
    <w:p>
      <w:pPr>
        <w:pStyle w:val="Heading1"/>
      </w:pPr>
      <w:r>
        <w:t xml:space="preserve">2. Declaración de la visión</w:t>
      </w:r>
    </w:p>
    <w:p>
      <w:pPr>
        <w:pStyle w:val="FirstParagraph"/>
      </w:pPr>
      <w:r>
        <w:rPr>
          <w:b/>
          <w:bCs/>
        </w:rPr>
        <w:t xml:space="preserve">Para</w:t>
      </w:r>
      <w:r>
        <w:t xml:space="preserve"> </w:t>
      </w:r>
      <w:r>
        <w:t xml:space="preserve">los hogares del Gran Santiago que necesitan resolver un problema doméstico (limpieza, gasfitería o cerrajería)</w:t>
      </w:r>
      <w:r>
        <w:t xml:space="preserve"> </w:t>
      </w:r>
      <w:r>
        <w:rPr>
          <w:b/>
          <w:bCs/>
        </w:rPr>
        <w:t xml:space="preserve">y</w:t>
      </w:r>
      <w:r>
        <w:t xml:space="preserve"> </w:t>
      </w:r>
      <w:r>
        <w:t xml:space="preserve">para los maestros que ejercen esos oficios de forma independiente,</w:t>
      </w:r>
      <w:r>
        <w:t xml:space="preserve"> </w:t>
      </w:r>
      <w:r>
        <w:rPr>
          <w:b/>
          <w:bCs/>
        </w:rPr>
        <w:t xml:space="preserve">Relwo es</w:t>
      </w:r>
      <w:r>
        <w:t xml:space="preserve"> </w:t>
      </w:r>
      <w:r>
        <w:t xml:space="preserve">una plataforma móvil que permite solicitar, cotizar, pagar y cerrar un servicio a domicilio dentro de un mismo canal.</w:t>
      </w:r>
      <w:r>
        <w:t xml:space="preserve"> </w:t>
      </w:r>
      <w:r>
        <w:rPr>
          <w:b/>
          <w:bCs/>
        </w:rPr>
        <w:t xml:space="preserve">A diferencia de</w:t>
      </w:r>
      <w:r>
        <w:t xml:space="preserve"> </w:t>
      </w:r>
      <w:r>
        <w:t xml:space="preserve">las recomendaciones de conocidos, los grupos de redes sociales o los avisos clasificados,</w:t>
      </w:r>
      <w:r>
        <w:t xml:space="preserve"> </w:t>
      </w:r>
      <w:r>
        <w:rPr>
          <w:b/>
          <w:bCs/>
        </w:rPr>
        <w:t xml:space="preserve">Relwo</w:t>
      </w:r>
      <w:r>
        <w:t xml:space="preserve"> </w:t>
      </w:r>
      <w:r>
        <w:t xml:space="preserve">verifica la identidad de los maestros, hace que el cliente apruebe cada precio antes de que exista y</w:t>
      </w:r>
      <w:r>
        <w:t xml:space="preserve"> </w:t>
      </w:r>
      <w:r>
        <w:rPr>
          <w:b/>
          <w:bCs/>
        </w:rPr>
        <w:t xml:space="preserve">retiene el pago en custodia</w:t>
      </w:r>
      <w:r>
        <w:t xml:space="preserve"> </w:t>
      </w:r>
      <w:r>
        <w:t xml:space="preserve">hasta que ambas partes confirman el término del trabajo.</w:t>
      </w:r>
    </w:p>
    <w:bookmarkEnd w:id="20"/>
    <w:bookmarkStart w:id="21" w:name="problema"/>
    <w:p>
      <w:pPr>
        <w:pStyle w:val="Heading1"/>
      </w:pPr>
      <w:r>
        <w:t xml:space="preserve">3. Problema</w:t>
      </w:r>
    </w:p>
    <w:p>
      <w:pPr>
        <w:pStyle w:val="FirstParagraph"/>
      </w:pPr>
      <w:r>
        <w:rPr>
          <w:b/>
          <w:bCs/>
        </w:rPr>
        <w:t xml:space="preserve">El problema.</w:t>
      </w:r>
      <w:r>
        <w:t xml:space="preserve"> </w:t>
      </w:r>
      <w:r>
        <w:t xml:space="preserve">Contratar un servicio a domicilio en Chile sigue siendo un proceso informal: no hay manera de verificar quién llega al domicilio, el precio se conversa por mensajería y el pago se hace en efectivo o por transferencia directa, sin respaldo si el trabajo queda mal hecho o no se realiza.</w:t>
      </w:r>
    </w:p>
    <w:p>
      <w:pPr>
        <w:pStyle w:val="BodyText"/>
      </w:pPr>
      <w:r>
        <w:rPr>
          <w:b/>
          <w:bCs/>
        </w:rPr>
        <w:t xml:space="preserve">A quién afecta.</w:t>
      </w:r>
      <w:r>
        <w:t xml:space="preserve"> </w:t>
      </w:r>
      <w:r>
        <w:t xml:space="preserve">Afecta a los hogares que necesitan resolver un problema doméstico y no saben a quién recurrir, y a los maestros independientes que dependen del boca a boca y no tienen garantía de pago.</w:t>
      </w:r>
    </w:p>
    <w:p>
      <w:pPr>
        <w:pStyle w:val="BodyText"/>
      </w:pPr>
      <w:r>
        <w:rPr>
          <w:b/>
          <w:bCs/>
        </w:rPr>
        <w:t xml:space="preserve">Su impacto.</w:t>
      </w:r>
      <w:r>
        <w:t xml:space="preserve"> </w:t>
      </w:r>
      <w:r>
        <w:t xml:space="preserve">El resultado es desconfianza del cliente, precios poco transparentes, trabajos sin garantía y un flujo de trabajo inestable para el maestro.</w:t>
      </w:r>
    </w:p>
    <w:p>
      <w:pPr>
        <w:pStyle w:val="BodyText"/>
      </w:pPr>
      <w:r>
        <w:rPr>
          <w:b/>
          <w:bCs/>
        </w:rPr>
        <w:t xml:space="preserve">Cómo se ve una solución exitosa.</w:t>
      </w:r>
      <w:r>
        <w:t xml:space="preserve"> </w:t>
      </w:r>
      <w:r>
        <w:t xml:space="preserve">Un canal formal donde el cliente describe su necesidad, recibe ofertas de maestros verificados, aprueba el precio, paga dentro de la plataforma y libera el pago solo con la conformidad de ambas partes.</w:t>
      </w:r>
    </w:p>
    <w:bookmarkEnd w:id="21"/>
    <w:bookmarkStart w:id="22" w:name="interesados-y-usuarios"/>
    <w:p>
      <w:pPr>
        <w:pStyle w:val="Heading1"/>
      </w:pPr>
      <w:r>
        <w:t xml:space="preserve">4. Interesados y usuarios</w:t>
      </w:r>
    </w:p>
    <w:p>
      <w:pPr>
        <w:pStyle w:val="FirstParagraph"/>
      </w:pPr>
      <w:r>
        <w:rPr>
          <w:b/>
          <w:bCs/>
        </w:rPr>
        <w:t xml:space="preserve">Cliente (hogar).</w:t>
      </w:r>
      <w:r>
        <w:t xml:space="preserve"> </w:t>
      </w:r>
      <w:r>
        <w:t xml:space="preserve">Es usuario de la app móvil. Su interés principal es encontrar un maestro confiable, conocer el precio antes de aceptarlo y pagar con respaldo.</w:t>
      </w:r>
    </w:p>
    <w:p>
      <w:pPr>
        <w:pStyle w:val="BodyText"/>
      </w:pPr>
      <w:r>
        <w:rPr>
          <w:b/>
          <w:bCs/>
        </w:rPr>
        <w:t xml:space="preserve">Maestro (prestador).</w:t>
      </w:r>
      <w:r>
        <w:t xml:space="preserve"> </w:t>
      </w:r>
      <w:r>
        <w:t xml:space="preserve">Usa la app móvil en modo maestro. Le interesa recibir solicitudes de su oficio y comuna, ofertar su valor y tener garantía de pago.</w:t>
      </w:r>
    </w:p>
    <w:p>
      <w:pPr>
        <w:pStyle w:val="BodyText"/>
      </w:pPr>
      <w:r>
        <w:rPr>
          <w:b/>
          <w:bCs/>
        </w:rPr>
        <w:t xml:space="preserve">Administrador de la plataforma.</w:t>
      </w:r>
      <w:r>
        <w:t xml:space="preserve"> </w:t>
      </w:r>
      <w:r>
        <w:t xml:space="preserve">Trabaja en la torre de control (panel web). Necesita aprobar registros y verificaciones, resolver disputas, configurar parámetros y ver métricas.</w:t>
      </w:r>
    </w:p>
    <w:p>
      <w:pPr>
        <w:pStyle w:val="BodyText"/>
      </w:pPr>
      <w:r>
        <w:rPr>
          <w:b/>
          <w:bCs/>
        </w:rPr>
        <w:t xml:space="preserve">El cliente del proyecto (parte comercial).</w:t>
      </w:r>
      <w:r>
        <w:t xml:space="preserve"> </w:t>
      </w:r>
      <w:r>
        <w:t xml:space="preserve">Cumple el rol de Product Owner. Su interés es que el MVP cumpla el alcance acordado y pueda operar un piloto.</w:t>
      </w:r>
    </w:p>
    <w:p>
      <w:pPr>
        <w:pStyle w:val="BodyText"/>
      </w:pPr>
      <w:r>
        <w:rPr>
          <w:b/>
          <w:bCs/>
        </w:rPr>
        <w:t xml:space="preserve">Asesora legal.</w:t>
      </w:r>
      <w:r>
        <w:t xml:space="preserve"> </w:t>
      </w:r>
      <w:r>
        <w:t xml:space="preserve">Participa como consultada. Le interesa que el modelo de pago en custodia y el tratamiento de datos personales cumplan la normativa.</w:t>
      </w:r>
    </w:p>
    <w:p>
      <w:pPr>
        <w:pStyle w:val="BodyText"/>
      </w:pPr>
      <w:r>
        <w:rPr>
          <w:b/>
          <w:bCs/>
        </w:rPr>
        <w:t xml:space="preserve">Equipo de desarrollo (Mauricio Poblete, Tania Sáez, Nayareth Suárez).</w:t>
      </w:r>
      <w:r>
        <w:t xml:space="preserve"> </w:t>
      </w:r>
      <w:r>
        <w:t xml:space="preserve">Se encarga de la construcción, las pruebas y la documentación. Busca entregar un producto funcional, mantenible y bien documentado, que además es nuestro Proyecto APT.</w:t>
      </w:r>
    </w:p>
    <w:p>
      <w:pPr>
        <w:pStyle w:val="BodyText"/>
      </w:pPr>
      <w:r>
        <w:rPr>
          <w:b/>
          <w:bCs/>
        </w:rPr>
        <w:t xml:space="preserve">Docente guía (Duoc UC).</w:t>
      </w:r>
      <w:r>
        <w:t xml:space="preserve"> </w:t>
      </w:r>
      <w:r>
        <w:t xml:space="preserve">Tiene a su cargo la evaluación académica. Espera evidencias de la aplicación de las competencias del perfil de egreso y de cómo gestionamos el proyecto.</w:t>
      </w:r>
    </w:p>
    <w:bookmarkEnd w:id="22"/>
    <w:bookmarkStart w:id="26" w:name="descripción-del-producto"/>
    <w:p>
      <w:pPr>
        <w:pStyle w:val="Heading1"/>
      </w:pPr>
      <w:r>
        <w:t xml:space="preserve">5. Descripción del producto</w:t>
      </w:r>
    </w:p>
    <w:bookmarkStart w:id="23" w:name="componentes"/>
    <w:p>
      <w:pPr>
        <w:pStyle w:val="Heading2"/>
      </w:pPr>
      <w:r>
        <w:t xml:space="preserve">5.1 Componentes</w:t>
      </w:r>
    </w:p>
    <w:p>
      <w:pPr>
        <w:pStyle w:val="FirstParagraph"/>
      </w:pPr>
      <w:r>
        <w:t xml:space="preserve">El producto tiene seis componentes. La</w:t>
      </w:r>
      <w:r>
        <w:t xml:space="preserve"> </w:t>
      </w:r>
      <w:r>
        <w:rPr>
          <w:b/>
          <w:bCs/>
        </w:rPr>
        <w:t xml:space="preserve">aplicación móvil</w:t>
      </w:r>
      <w:r>
        <w:t xml:space="preserve">, construida en Flutter para Android e iOS, la usan clientes y maestros, con un modo para cada uno. La</w:t>
      </w:r>
      <w:r>
        <w:t xml:space="preserve"> </w:t>
      </w:r>
      <w:r>
        <w:rPr>
          <w:b/>
          <w:bCs/>
        </w:rPr>
        <w:t xml:space="preserve">torre de control</w:t>
      </w:r>
      <w:r>
        <w:t xml:space="preserve"> </w:t>
      </w:r>
      <w:r>
        <w:t xml:space="preserve">(panel de administración) está hecha en Angular, se publica en la web y la usan los administradores de la plataforma.</w:t>
      </w:r>
    </w:p>
    <w:p>
      <w:pPr>
        <w:pStyle w:val="BodyText"/>
      </w:pPr>
      <w:r>
        <w:t xml:space="preserve">El</w:t>
      </w:r>
      <w:r>
        <w:t xml:space="preserve"> </w:t>
      </w:r>
      <w:r>
        <w:rPr>
          <w:b/>
          <w:bCs/>
        </w:rPr>
        <w:t xml:space="preserve">servidor y API</w:t>
      </w:r>
      <w:r>
        <w:t xml:space="preserve">, escrito en NestJS con TypeScript, atiende a todos los clientes del sistema: calcula todos los montos y administra los estados. La</w:t>
      </w:r>
      <w:r>
        <w:t xml:space="preserve"> </w:t>
      </w:r>
      <w:r>
        <w:rPr>
          <w:b/>
          <w:bCs/>
        </w:rPr>
        <w:t xml:space="preserve">base de datos</w:t>
      </w:r>
      <w:r>
        <w:t xml:space="preserve"> </w:t>
      </w:r>
      <w:r>
        <w:t xml:space="preserve">es PostgreSQL con extensión geográfica y la usa el servidor. La</w:t>
      </w:r>
      <w:r>
        <w:t xml:space="preserve"> </w:t>
      </w:r>
      <w:r>
        <w:rPr>
          <w:b/>
          <w:bCs/>
        </w:rPr>
        <w:t xml:space="preserve">nube</w:t>
      </w:r>
      <w:r>
        <w:t xml:space="preserve"> </w:t>
      </w:r>
      <w:r>
        <w:t xml:space="preserve">es Google Cloud, en un entorno de prueba, y aloja el servidor, la base de datos y el panel.</w:t>
      </w:r>
    </w:p>
    <w:p>
      <w:pPr>
        <w:pStyle w:val="BodyText"/>
      </w:pPr>
      <w:r>
        <w:t xml:space="preserve">Los</w:t>
      </w:r>
      <w:r>
        <w:t xml:space="preserve"> </w:t>
      </w:r>
      <w:r>
        <w:rPr>
          <w:b/>
          <w:bCs/>
        </w:rPr>
        <w:t xml:space="preserve">pagos</w:t>
      </w:r>
      <w:r>
        <w:t xml:space="preserve"> </w:t>
      </w:r>
      <w:r>
        <w:t xml:space="preserve">se hacen con una pasarela de pago en modo de pruebas, detrás de un componente intercambiable, y cubren el cobro con retención en custodia.</w:t>
      </w:r>
    </w:p>
    <w:bookmarkEnd w:id="23"/>
    <w:bookmarkStart w:id="24" w:name="capacidades-principales-del-mvp"/>
    <w:p>
      <w:pPr>
        <w:pStyle w:val="Heading2"/>
      </w:pPr>
      <w:r>
        <w:t xml:space="preserve">5.2 Capacidades principales del MVP</w:t>
      </w:r>
    </w:p>
    <w:p>
      <w:pPr>
        <w:pStyle w:val="FirstParagraph"/>
      </w:pPr>
      <w:r>
        <w:rPr>
          <w:b/>
          <w:bCs/>
        </w:rPr>
        <w:t xml:space="preserve">Tres oficios contratables.</w:t>
      </w:r>
      <w:r>
        <w:t xml:space="preserve"> </w:t>
      </w:r>
      <w:r>
        <w:t xml:space="preserve">Limpieza del hogar (una vez, quincenal o semanal), gasfitería y cerrajería; gasfitería y cerrajería admiten modalidad urgente. Electricidad, jardinería, cuidado de niños y clases particulares aparecen como «Próximamente» y registran el interés de los usuarios.</w:t>
      </w:r>
    </w:p>
    <w:p>
      <w:pPr>
        <w:pStyle w:val="BodyText"/>
      </w:pPr>
      <w:r>
        <w:rPr>
          <w:b/>
          <w:bCs/>
        </w:rPr>
        <w:t xml:space="preserve">Cobertura.</w:t>
      </w:r>
      <w:r>
        <w:t xml:space="preserve"> </w:t>
      </w:r>
      <w:r>
        <w:t xml:space="preserve">Gran Santiago, 40 comunas visibles, con puesta en marcha en Las Condes, Ñuñoa, Vitacura y Santiago. Cada maestro declara las comunas que atiende y una comuna se activa al tener tres maestros verificados y disponibles.</w:t>
      </w:r>
    </w:p>
    <w:p>
      <w:pPr>
        <w:pStyle w:val="BodyText"/>
      </w:pPr>
      <w:r>
        <w:rPr>
          <w:b/>
          <w:bCs/>
        </w:rPr>
        <w:t xml:space="preserve">Publicación con multioferta.</w:t>
      </w:r>
      <w:r>
        <w:t xml:space="preserve"> </w:t>
      </w:r>
      <w:r>
        <w:t xml:space="preserve">El cliente publica su solicitud, los maestros cuyo perfil calza la reciben y ofertan su valor, y el cliente elige una oferta sin pagar nada todavía.</w:t>
      </w:r>
    </w:p>
    <w:p>
      <w:pPr>
        <w:pStyle w:val="BodyText"/>
      </w:pPr>
      <w:r>
        <w:rPr>
          <w:b/>
          <w:bCs/>
        </w:rPr>
        <w:t xml:space="preserve">Flujo central de 14 pasos.</w:t>
      </w:r>
      <w:r>
        <w:t xml:space="preserve"> </w:t>
      </w:r>
      <w:r>
        <w:t xml:space="preserve">Va desde la solicitud hasta el cierre con fotografía del trabajo terminado y un código de 3 dígitos que solo tiene el cliente. En terreno el maestro cotiza el monto definitivo y el cliente lo autoriza antes de continuar.</w:t>
      </w:r>
    </w:p>
    <w:p>
      <w:pPr>
        <w:pStyle w:val="BodyText"/>
      </w:pPr>
      <w:r>
        <w:rPr>
          <w:b/>
          <w:bCs/>
        </w:rPr>
        <w:t xml:space="preserve">Pago en custodia.</w:t>
      </w:r>
      <w:r>
        <w:t xml:space="preserve"> </w:t>
      </w:r>
      <w:r>
        <w:t xml:space="preserve">Hay un solo cobro, que ocurre cuando el cliente aprueba el monto cotizado en terreno; el dinero queda retenido hasta la confirmación de término. Todos los montos los calcula el servidor.</w:t>
      </w:r>
    </w:p>
    <w:p>
      <w:pPr>
        <w:pStyle w:val="BodyText"/>
      </w:pPr>
      <w:r>
        <w:rPr>
          <w:b/>
          <w:bCs/>
        </w:rPr>
        <w:t xml:space="preserve">Confianza.</w:t>
      </w:r>
      <w:r>
        <w:t xml:space="preserve"> </w:t>
      </w:r>
      <w:r>
        <w:t xml:space="preserve">Registro con aprobación en la torre de control, verificación de identidad por capas y validación de la licencia SEC del maestro por RUT. El maestro que cumple todas las capas recibe el Sello RELWO.</w:t>
      </w:r>
    </w:p>
    <w:p>
      <w:pPr>
        <w:pStyle w:val="BodyText"/>
      </w:pPr>
      <w:r>
        <w:rPr>
          <w:b/>
          <w:bCs/>
        </w:rPr>
        <w:t xml:space="preserve">Postventa.</w:t>
      </w:r>
      <w:r>
        <w:t xml:space="preserve"> </w:t>
      </w:r>
      <w:r>
        <w:t xml:space="preserve">Evaluación de doble vía y a ciegas, reclamos («Tuve un problema») con seguimiento en la torre de control, mensajería dentro de la app y chat de soporte.</w:t>
      </w:r>
    </w:p>
    <w:p>
      <w:pPr>
        <w:pStyle w:val="BodyText"/>
      </w:pPr>
      <w:r>
        <w:rPr>
          <w:b/>
          <w:bCs/>
        </w:rPr>
        <w:t xml:space="preserve">Operación.</w:t>
      </w:r>
      <w:r>
        <w:t xml:space="preserve"> </w:t>
      </w:r>
      <w:r>
        <w:t xml:space="preserve">Torre de control con bandejas de registro y verificación, disputas, auditoría, parámetros de operación y tablero de métricas con los seis eventos de uso del producto.</w:t>
      </w:r>
    </w:p>
    <w:bookmarkEnd w:id="24"/>
    <w:bookmarkStart w:id="25" w:name="fuera-del-alcance-del-mvp"/>
    <w:p>
      <w:pPr>
        <w:pStyle w:val="Heading2"/>
      </w:pPr>
      <w:r>
        <w:t xml:space="preserve">5.3 Fuera del alcance del MVP</w:t>
      </w:r>
    </w:p>
    <w:p>
      <w:pPr>
        <w:pStyle w:val="FirstParagraph"/>
      </w:pPr>
      <w:r>
        <w:t xml:space="preserve">Quedan fuera del MVP los oficios contratables adicionales y las comunas operativas fuera de las cuatro iniciales, que se activan por regla y no por desarrollo. Tampoco se opera con dinero real: el pago se integra contra el entorno de pruebas de la pasarela. El mapa de oferentes cercanos en la pantalla de inicio se descartó tras revisar el prototipo navegable. Por último, no se expone la ubicación del maestro fuera del trayecto hacia el domicilio.</w:t>
      </w:r>
    </w:p>
    <w:bookmarkEnd w:id="25"/>
    <w:bookmarkEnd w:id="26"/>
    <w:bookmarkStart w:id="30" w:name="supuestos-restricciones-y-riesgos"/>
    <w:p>
      <w:pPr>
        <w:pStyle w:val="Heading1"/>
      </w:pPr>
      <w:r>
        <w:t xml:space="preserve">6. Supuestos, restricciones y riesgos</w:t>
      </w:r>
    </w:p>
    <w:bookmarkStart w:id="27" w:name="restricciones"/>
    <w:p>
      <w:pPr>
        <w:pStyle w:val="Heading2"/>
      </w:pPr>
      <w:r>
        <w:t xml:space="preserve">6.1 Restricciones</w:t>
      </w:r>
    </w:p>
    <w:p>
      <w:pPr>
        <w:pStyle w:val="FirstParagraph"/>
      </w:pPr>
      <w:r>
        <w:t xml:space="preserve">El MVP debe caber en el semestre académico y en la capacidad real de un equipo de tres personas que además trabaja. Para abordarlo usamos Scrum con sprints cortos, compromiso explícito por persona y reserva declarada en cada Sprint Backlog.</w:t>
      </w:r>
    </w:p>
    <w:p>
      <w:pPr>
        <w:pStyle w:val="BodyText"/>
      </w:pPr>
      <w:r>
        <w:t xml:space="preserve">La segunda restricción es que no puede haber ninguna contraseña ni secreto en el código, y que la base de datos y la nube operan con permisos mínimos. Se aborda con credenciales fuera del repositorio, un rol de aplicación sin permisos de administración y auditoría de solo escritura.</w:t>
      </w:r>
    </w:p>
    <w:bookmarkEnd w:id="27"/>
    <w:bookmarkStart w:id="28" w:name="supuestos"/>
    <w:p>
      <w:pPr>
        <w:pStyle w:val="Heading2"/>
      </w:pPr>
      <w:r>
        <w:t xml:space="preserve">6.2 Supuestos</w:t>
      </w:r>
    </w:p>
    <w:p>
      <w:pPr>
        <w:pStyle w:val="FirstParagraph"/>
      </w:pPr>
      <w:r>
        <w:t xml:space="preserve">Suponemos que los servicios de terceros (pago, mapas, verificación de identidad) se habilitan a tiempo. Como resguardo, se integran mediante componentes intercambiables con simuladores, y el Sprint 9 queda como contingencia.</w:t>
      </w:r>
    </w:p>
    <w:bookmarkEnd w:id="28"/>
    <w:bookmarkStart w:id="29" w:name="riesgos"/>
    <w:p>
      <w:pPr>
        <w:pStyle w:val="Heading2"/>
      </w:pPr>
      <w:r>
        <w:t xml:space="preserve">6.3 Riesgos</w:t>
      </w:r>
    </w:p>
    <w:p>
      <w:pPr>
        <w:pStyle w:val="FirstParagraph"/>
      </w:pPr>
      <w:r>
        <w:rPr>
          <w:b/>
          <w:bCs/>
        </w:rPr>
        <w:t xml:space="preserve">Crecimiento del alcance.</w:t>
      </w:r>
      <w:r>
        <w:t xml:space="preserve"> </w:t>
      </w:r>
      <w:r>
        <w:t xml:space="preserve">Se controla con el registro de cambios de alcance, con decisiones fechadas, y dejando escrito en cada sprint lo que queda fuera.</w:t>
      </w:r>
    </w:p>
    <w:p>
      <w:pPr>
        <w:pStyle w:val="BodyText"/>
      </w:pPr>
      <w:r>
        <w:rPr>
          <w:b/>
          <w:bCs/>
        </w:rPr>
        <w:t xml:space="preserve">Sobrecarga concentrada en una persona</w:t>
      </w:r>
      <w:r>
        <w:t xml:space="preserve"> </w:t>
      </w:r>
      <w:r>
        <w:t xml:space="preserve">(Scrum Master, servidor y app). Se mitiga repartiendo unidades acotadas a Tania Sáez y Nayareth Suárez y con revisión cruzada de cada cambio.</w:t>
      </w:r>
    </w:p>
    <w:bookmarkEnd w:id="29"/>
    <w:bookmarkEnd w:id="30"/>
    <w:bookmarkStart w:id="31" w:name="criterios-de-éxito"/>
    <w:p>
      <w:pPr>
        <w:pStyle w:val="Heading1"/>
      </w:pPr>
      <w:r>
        <w:t xml:space="preserve">7. Criterios de éxito</w:t>
      </w:r>
    </w:p>
    <w:p>
      <w:pPr>
        <w:pStyle w:val="FirstParagraph"/>
      </w:pPr>
      <w:r>
        <w:t xml:space="preserve">A continuación se describe cada criterio, su medida y su estado al 19-10-2026.</w:t>
      </w:r>
    </w:p>
    <w:p>
      <w:pPr>
        <w:pStyle w:val="BodyText"/>
      </w:pPr>
      <w:r>
        <w:rPr>
          <w:b/>
          <w:bCs/>
        </w:rPr>
        <w:t xml:space="preserve">Recorrido completo.</w:t>
      </w:r>
      <w:r>
        <w:t xml:space="preserve"> </w:t>
      </w:r>
      <w:r>
        <w:t xml:space="preserve">La medida es que un servicio se solicite, se oferte, se pague, se ejecute y se cierre con código de 3 dígitos en el entorno de prueba. Está logrado y fue probado en emulador y en teléfono físico.</w:t>
      </w:r>
    </w:p>
    <w:p>
      <w:pPr>
        <w:pStyle w:val="BodyText"/>
      </w:pPr>
      <w:r>
        <w:rPr>
          <w:b/>
          <w:bCs/>
        </w:rPr>
        <w:t xml:space="preserve">Montos consistentes.</w:t>
      </w:r>
      <w:r>
        <w:t xml:space="preserve"> </w:t>
      </w:r>
      <w:r>
        <w:t xml:space="preserve">Todos los montos se calculan en el servidor, y cliente y maestro ven el mismo valor. Está logrado y cubierto por pruebas automáticas.</w:t>
      </w:r>
    </w:p>
    <w:p>
      <w:pPr>
        <w:pStyle w:val="BodyText"/>
      </w:pPr>
      <w:r>
        <w:rPr>
          <w:b/>
          <w:bCs/>
        </w:rPr>
        <w:t xml:space="preserve">Calidad verificable.</w:t>
      </w:r>
      <w:r>
        <w:t xml:space="preserve"> </w:t>
      </w:r>
      <w:r>
        <w:t xml:space="preserve">Se mide por la existencia de pruebas automáticas que se ejecutan con cada cambio. Hoy hay cerca de 4.800 pruebas entre servidor y app.</w:t>
      </w:r>
    </w:p>
    <w:p>
      <w:pPr>
        <w:pStyle w:val="BodyText"/>
      </w:pPr>
      <w:r>
        <w:rPr>
          <w:b/>
          <w:bCs/>
        </w:rPr>
        <w:t xml:space="preserve">Operación.</w:t>
      </w:r>
      <w:r>
        <w:t xml:space="preserve"> </w:t>
      </w:r>
      <w:r>
        <w:t xml:space="preserve">Se espera una torre de control con registro, verificación, disputas, auditoría y métricas. Está logrado y publicada en la web.</w:t>
      </w:r>
    </w:p>
    <w:p>
      <w:pPr>
        <w:pStyle w:val="BodyText"/>
      </w:pPr>
      <w:r>
        <w:rPr>
          <w:b/>
          <w:bCs/>
        </w:rPr>
        <w:t xml:space="preserve">Validación con el cliente.</w:t>
      </w:r>
      <w:r>
        <w:t xml:space="preserve"> </w:t>
      </w:r>
      <w:r>
        <w:t xml:space="preserve">El incremento de cada sprint se presenta al cliente en la Revisión. Los Sprints 1 a 7 fueron presentados, sin observaciones que cambiaran el plan.</w:t>
      </w:r>
    </w:p>
    <w:p>
      <w:pPr>
        <w:pStyle w:val="BodyText"/>
      </w:pPr>
      <w:r>
        <w:rPr>
          <w:b/>
          <w:bCs/>
        </w:rPr>
        <w:t xml:space="preserve">Hito de octubre.</w:t>
      </w:r>
      <w:r>
        <w:t xml:space="preserve"> </w:t>
      </w:r>
      <w:r>
        <w:t xml:space="preserve">Consiste en la revisión de aceptación del MVP al cierre del Sprint 8 (30-10-2026). Está en curso.</w:t>
      </w:r>
    </w:p>
    <w:bookmarkEnd w:id="31"/>
    <w:bookmarkStart w:id="32" w:name="metodología-y-gobierno"/>
    <w:p>
      <w:pPr>
        <w:pStyle w:val="Heading1"/>
      </w:pPr>
      <w:r>
        <w:t xml:space="preserve">8. Metodología y gobierno</w:t>
      </w:r>
    </w:p>
    <w:p>
      <w:pPr>
        <w:pStyle w:val="FirstParagraph"/>
      </w:pPr>
      <w:r>
        <w:t xml:space="preserve">El proyecto se ejecuta con</w:t>
      </w:r>
      <w:r>
        <w:t xml:space="preserve"> </w:t>
      </w:r>
      <w:r>
        <w:rPr>
          <w:b/>
          <w:bCs/>
        </w:rPr>
        <w:t xml:space="preserve">Scrum</w:t>
      </w:r>
      <w:r>
        <w:t xml:space="preserve">. El Product Owner es el cliente del proyecto, representado por su parte comercial. Scrum Master: Mauricio Poblete. Equipo de desarrollo: Mauricio Poblete (servidor, app y nube), Tania Sáez (torre de control y diseño) y Nayareth Suárez (tablero de métricas y encargos acotados; antes, evidencias académicas y seguimiento documental). Los sprints fueron de una semana al inicio y de dos a tres semanas desde el Sprint 5. Cada sprint deja su Sprint Backlog, su tablero con el registro de seguimiento diario, el acta de la Revisión y la retrospectiva, resumidos en las fichas de sprint de esta carpeta.</w:t>
      </w:r>
    </w:p>
    <w:bookmarkEnd w:id="32"/>
    <w:sectPr w:rsidR="00FC693F" w:rsidRPr="0006063C" w:rsidSect="00034616">
      <w:headerReference r:id="rId9" w:type="default"/>
      <w:footerReference r:id="rId10" w:type="default"/>
      <w:pgSz w:h="16838" w:w="11906"/>
      <w:pgMar w:bottom="1020" w:footer="720" w:gutter="0" w:header="720" w:left="1134" w:right="1134" w:top="1134"/>
      <w:cols w:space="720"/>
      <w:titlePg/>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95959"/>
        <w:sz w:val="16"/>
      </w:rPr>
      <w:t xml:space="preserve">Página </w:t>
    </w:r>
    <w:r>
      <w:fldChar w:fldCharType="begin"/>
    </w:r>
    <w:r>
      <w:instrText xml:space="preserve">PAGE</w:instrText>
    </w:r>
    <w:r>
      <w:fldChar w:fldCharType="separate"/>
    </w:r>
    <w: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595959"/>
        <w:sz w:val="16"/>
      </w:rPr>
      <w:t>RELWO · Portafolio de Título (PTY4614) · Duoc UC Plaza Norte</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80" w:line="264" w:lineRule="auto"/>
    </w:pPr>
    <w:rPr>
      <w:rFonts w:ascii="Calibri" w:eastAsia="Calibri" w:hAnsi="Calibri"/>
      <w:sz w:val="21"/>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80" w:before="240"/>
      <w:outlineLvl w:val="0"/>
    </w:pPr>
    <w:rPr>
      <w:rFonts w:ascii="Calibri" w:hAnsi="Calibri"/>
      <w:b/>
      <w:bCs/>
      <w:color w:val="1F3864"/>
      <w:sz w:val="36"/>
      <w:szCs w:val="28"/>
    </w:rPr>
  </w:style>
  <w:style w:styleId="Heading2" w:type="paragraph">
    <w:name w:val="heading 2"/>
    <w:basedOn w:val="Normal"/>
    <w:next w:val="Normal"/>
    <w:link w:val="Heading2Char"/>
    <w:uiPriority w:val="9"/>
    <w:unhideWhenUsed/>
    <w:qFormat/>
    <w:rsid w:val="00FC693F"/>
    <w:pPr>
      <w:keepNext/>
      <w:keepLines/>
      <w:spacing w:after="80" w:before="240"/>
      <w:outlineLvl w:val="1"/>
    </w:pPr>
    <w:rPr>
      <w:rFonts w:ascii="Calibri" w:hAnsi="Calibri"/>
      <w:b/>
      <w:bCs/>
      <w:color w:val="1F3864"/>
      <w:sz w:val="28"/>
      <w:szCs w:val="26"/>
    </w:rPr>
  </w:style>
  <w:style w:styleId="Heading3" w:type="paragraph">
    <w:name w:val="heading 3"/>
    <w:basedOn w:val="Normal"/>
    <w:next w:val="Normal"/>
    <w:link w:val="Heading3Char"/>
    <w:uiPriority w:val="9"/>
    <w:unhideWhenUsed/>
    <w:qFormat/>
    <w:rsid w:val="00FC693F"/>
    <w:pPr>
      <w:keepNext/>
      <w:keepLines/>
      <w:spacing w:after="80" w:before="160"/>
      <w:outlineLvl w:val="2"/>
    </w:pPr>
    <w:rPr>
      <w:rFonts w:ascii="Calibri" w:hAnsi="Calibri"/>
      <w:b/>
      <w:bCs/>
      <w:color w:val="2E75B6"/>
      <w:sz w:val="24"/>
    </w:rPr>
  </w:style>
  <w:style w:styleId="Heading4" w:type="paragraph">
    <w:name w:val="heading 4"/>
    <w:basedOn w:val="Normal"/>
    <w:next w:val="Normal"/>
    <w:link w:val="Heading4Char"/>
    <w:uiPriority w:val="9"/>
    <w:semiHidden/>
    <w:unhideWhenUsed/>
    <w:qFormat/>
    <w:rsid w:val="00FC693F"/>
    <w:pPr>
      <w:keepNext/>
      <w:keepLines/>
      <w:spacing w:after="80" w:before="160"/>
      <w:outlineLvl w:val="3"/>
    </w:pPr>
    <w:rPr>
      <w:rFonts w:ascii="Calibri" w:hAnsi="Calibri"/>
      <w:b/>
      <w:bCs/>
      <w:i/>
      <w:iCs/>
      <w:color w:val="2E75B6"/>
      <w:sz w:val="22"/>
    </w:rPr>
  </w:style>
  <w:style w:styleId="Heading5" w:type="paragraph">
    <w:name w:val="heading 5"/>
    <w:basedOn w:val="Normal"/>
    <w:next w:val="Normal"/>
    <w:link w:val="Heading5Char"/>
    <w:uiPriority w:val="9"/>
    <w:semiHidden/>
    <w:unhideWhenUsed/>
    <w:qFormat/>
    <w:rsid w:val="00FC693F"/>
    <w:pPr>
      <w:keepNext/>
      <w:keepLines/>
      <w:spacing w:after="80" w:before="160"/>
      <w:outlineLvl w:val="4"/>
    </w:pPr>
    <w:rPr>
      <w:rFonts w:ascii="Calibri" w:hAnsi="Calibri"/>
      <w:b/>
      <w:color w:val="595959"/>
      <w:sz w:val="21"/>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Table" w:type="table">
    <w:name w:val="Table"/>
    <w:basedOn w:val="TableNormal"/>
    <w:uiPriority w:val="59"/>
    <w:rPr>
      <w:sz w:val="18"/>
      <w:szCs w:val="18"/>
    </w:rPr>
    <w:tblPr>
      <w:tblStyleRowBandSize w:val="1"/>
      <w:tblW w:type="auto" w:w="0"/>
      <w:tblBorders>
        <w:top w:color="9AA3B5" w:space="0" w:sz="4" w:val="single"/>
        <w:left w:color="9AA3B5" w:space="0" w:sz="4" w:val="single"/>
        <w:bottom w:color="9AA3B5" w:space="0" w:sz="4" w:val="single"/>
        <w:right w:color="9AA3B5" w:space="0" w:sz="4" w:val="single"/>
        <w:insideH w:color="9AA3B5" w:space="0" w:sz="4" w:val="single"/>
        <w:insideV w:color="9AA3B5" w:space="0" w:sz="4" w:val="single"/>
      </w:tblBorders>
      <w:tblCellMar>
        <w:top w:type="dxa" w:w="40"/>
        <w:left w:type="dxa" w:w="80"/>
        <w:bottom w:type="dxa" w:w="40"/>
        <w:right w:type="dxa" w:w="80"/>
      </w:tblCellMar>
    </w:tblPr>
    <w:tblStylePr w:type="firstRow">
      <w:rPr>
        <w:b/>
      </w:rPr>
      <w:tcPr>
        <w:shd w:color="auto" w:fill="E8ECF5"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8" Target="numbering.xml" /><Relationship Type="http://schemas.openxmlformats.org/officeDocument/2006/relationships/styles" Id="rId17" Target="styles.xml" /><Relationship Type="http://schemas.openxmlformats.org/officeDocument/2006/relationships/settings" Id="rId16" Target="settings.xml" /><Relationship Type="http://schemas.openxmlformats.org/officeDocument/2006/relationships/webSettings" Id="rId15" Target="webSettings.xml" /><Relationship Type="http://schemas.openxmlformats.org/officeDocument/2006/relationships/fontTable" Id="rId14" Target="fontTable.xml" /><Relationship Type="http://schemas.openxmlformats.org/officeDocument/2006/relationships/theme" Id="rId13" Target="theme/theme1.xml" /><Relationship Type="http://schemas.openxmlformats.org/officeDocument/2006/relationships/footnotes" Id="rId12" Target="footnotes.xml" /><Relationship Type="http://schemas.openxmlformats.org/officeDocument/2006/relationships/comments" Id="rId11"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2026-10-19T18:42:16Z</dcterms:created>
  <dcterms:modified xsi:type="dcterms:W3CDTF">2026-10-19T18:42:16Z</dcterms:modified>
</cp:coreProperties>
</file>

<file path=docProps/custom.xml><?xml version="1.0" encoding="utf-8"?>
<Properties xmlns="http://schemas.openxmlformats.org/officeDocument/2006/custom-properties" xmlns:vt="http://schemas.openxmlformats.org/officeDocument/2006/docPropsVTypes"/>
</file>