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1F3864"/>
          <w:sz w:val="80"/>
        </w:rPr>
        <w:t>RELWO</w:t>
      </w:r>
    </w:p>
    <w:p>
      <w:r>
        <w:rPr>
          <w:color w:val="595959"/>
          <w:sz w:val="24"/>
        </w:rPr>
        <w:t>Plataforma de servicios a domicilio con pago en custodia</w:t>
      </w:r>
    </w:p>
    <w:p/>
    <w:p>
      <w:r>
        <w:rPr>
          <w:b/>
          <w:color w:val="2E75B6"/>
          <w:sz w:val="48"/>
        </w:rPr>
        <w:t>Carta Gantt actualizada</w:t>
      </w:r>
    </w:p>
    <w:p>
      <w:r>
        <w:rPr>
          <w:color w:val="595959"/>
          <w:sz w:val="26"/>
        </w:rPr>
        <w:t>Planificación por sprints, ejecución real y desviaciones a la semana 11 del semestre</w:t>
      </w:r>
    </w:p>
    <w:p/>
    <w:p/>
    <w:p/>
    <w:p/>
    <w:p>
      <w:pPr>
        <w:pStyle w:val="BodyText"/>
      </w:pPr>
      <w:r>
        <w:rPr>
          <w:b/>
        </w:rPr>
        <w:t xml:space="preserve">Asignatura: </w:t>
      </w:r>
      <w:r>
        <w:t>Portafolio de Título (Capstone) — PTY4614</w:t>
      </w:r>
    </w:p>
    <w:p>
      <w:pPr>
        <w:pStyle w:val="BodyText"/>
      </w:pPr>
      <w:r>
        <w:rPr>
          <w:b/>
        </w:rPr>
        <w:t xml:space="preserve">Carrera: </w:t>
      </w:r>
      <w:r>
        <w:t>Ingeniería en Informática — Duoc UC, Sede Plaza Norte</w:t>
      </w:r>
    </w:p>
    <w:p>
      <w:pPr>
        <w:pStyle w:val="BodyText"/>
      </w:pPr>
      <w:r>
        <w:rPr>
          <w:b/>
        </w:rPr>
        <w:t xml:space="preserve">Equipo: </w:t>
      </w:r>
      <w:r>
        <w:t>Mauricio Poblete · Tania Sáez · Nayareth Suárez</w:t>
      </w:r>
    </w:p>
    <w:p>
      <w:pPr>
        <w:pStyle w:val="BodyText"/>
      </w:pPr>
      <w:r>
        <w:rPr>
          <w:b/>
        </w:rPr>
        <w:t xml:space="preserve">Fase: </w:t>
      </w:r>
      <w:r>
        <w:t>Fase 2 — Desarrollo y ejecución</w:t>
      </w:r>
    </w:p>
    <w:p>
      <w:pPr>
        <w:pStyle w:val="BodyText"/>
      </w:pPr>
      <w:r>
        <w:rPr>
          <w:b/>
        </w:rPr>
        <w:t xml:space="preserve">Fecha: </w:t>
      </w:r>
      <w:r>
        <w:t>19 de octubre de 2026</w:t>
      </w:r>
    </w:p>
    <w:p>
      <w:pPr>
        <w:pStyle w:val="BodyText"/>
      </w:pPr>
      <w:r>
        <w:rPr>
          <w:b/>
        </w:rPr>
        <w:t xml:space="preserve">Base: </w:t>
      </w:r>
      <w:r>
        <w:t>Carta Gantt planificada en la Fase 1 (04_Carta_Gantt_Planificada_Fase1.xlsx)</w:t>
      </w:r>
    </w:p>
    <w:p>
      <w:r>
        <w:br w:type="page"/>
      </w:r>
    </w:p>
    <w:p>
      <w:pPr>
        <w:pStyle w:val="Heading1"/>
      </w:pPr>
      <w:r>
        <w:t>1. Cronograma real de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rPr>
          <w:tblHeader w:val="true"/>
        </w:trPr>
        <w:tc>
          <w:tcPr>
            <w:tcW w:type="dxa" w:w="455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type="dxa" w:w="1442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Ventana planificada</w:t>
            </w:r>
          </w:p>
        </w:tc>
        <w:tc>
          <w:tcPr>
            <w:tcW w:type="dxa" w:w="2656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Cierre efectivo</w:t>
            </w:r>
          </w:p>
        </w:tc>
        <w:tc>
          <w:tcPr>
            <w:tcW w:type="dxa" w:w="4553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75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Compromiso</w:t>
            </w:r>
          </w:p>
        </w:tc>
        <w:tc>
          <w:tcPr>
            <w:tcW w:type="dxa" w:w="2352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Entregado</w:t>
            </w:r>
          </w:p>
        </w:tc>
        <w:tc>
          <w:tcPr>
            <w:tcW w:type="dxa" w:w="2352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Desviación</w:t>
            </w:r>
          </w:p>
        </w:tc>
      </w:tr>
      <w:tr>
        <w:tc>
          <w:tcPr>
            <w:tcW w:type="dxa" w:w="455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4"/>
              </w:rPr>
              <w:t>03 – 07/08</w:t>
            </w:r>
          </w:p>
        </w:tc>
        <w:tc>
          <w:tcPr>
            <w:tcW w:type="dxa" w:w="2656"/>
          </w:tcPr>
          <w:p>
            <w:pPr>
              <w:spacing w:after="0"/>
            </w:pPr>
            <w:r>
              <w:rPr>
                <w:sz w:val="14"/>
              </w:rPr>
              <w:t>sáb 08/08</w:t>
            </w:r>
          </w:p>
        </w:tc>
        <w:tc>
          <w:tcPr>
            <w:tcW w:type="dxa" w:w="4553"/>
          </w:tcPr>
          <w:p>
            <w:pPr>
              <w:spacing w:after="0"/>
            </w:pPr>
            <w:r>
              <w:rPr>
                <w:sz w:val="14"/>
              </w:rPr>
              <w:t>Cimientos del repositorio y del servidor</w:t>
            </w:r>
          </w:p>
        </w:tc>
        <w:tc>
          <w:tcPr>
            <w:tcW w:type="dxa" w:w="759"/>
          </w:tcPr>
          <w:p>
            <w:pPr>
              <w:spacing w:after="0"/>
            </w:pPr>
            <w:r>
              <w:rPr>
                <w:sz w:val="14"/>
              </w:rPr>
              <w:t>15 pts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Completo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+1 día</w:t>
            </w:r>
          </w:p>
        </w:tc>
      </w:tr>
      <w:tr>
        <w:tc>
          <w:tcPr>
            <w:tcW w:type="dxa" w:w="455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44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10 – 14/08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lun 17/08</w:t>
            </w:r>
          </w:p>
        </w:tc>
        <w:tc>
          <w:tcPr>
            <w:tcW w:type="dxa" w:w="4553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Torre de control navegable; base de pruebas e integración continua</w:t>
            </w:r>
          </w:p>
        </w:tc>
        <w:tc>
          <w:tcPr>
            <w:tcW w:type="dxa" w:w="75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41 pts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41 de 41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+1 día hábil</w:t>
            </w:r>
          </w:p>
        </w:tc>
      </w:tr>
      <w:tr>
        <w:tc>
          <w:tcPr>
            <w:tcW w:type="dxa" w:w="455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4"/>
              </w:rPr>
              <w:t>17 – 21/08</w:t>
            </w:r>
          </w:p>
        </w:tc>
        <w:tc>
          <w:tcPr>
            <w:tcW w:type="dxa" w:w="2656"/>
          </w:tcPr>
          <w:p>
            <w:pPr>
              <w:spacing w:after="0"/>
            </w:pPr>
            <w:r>
              <w:rPr>
                <w:sz w:val="14"/>
              </w:rPr>
              <w:t>mié 19/08 (servidor) · 29/08 (panel)</w:t>
            </w:r>
          </w:p>
        </w:tc>
        <w:tc>
          <w:tcPr>
            <w:tcW w:type="dxa" w:w="4553"/>
          </w:tcPr>
          <w:p>
            <w:pPr>
              <w:spacing w:after="0"/>
            </w:pPr>
            <w:r>
              <w:rPr>
                <w:sz w:val="14"/>
              </w:rPr>
              <w:t>Flujo del dinero de punta a punta, demostrado al cliente</w:t>
            </w:r>
          </w:p>
        </w:tc>
        <w:tc>
          <w:tcPr>
            <w:tcW w:type="dxa" w:w="759"/>
          </w:tcPr>
          <w:p>
            <w:pPr>
              <w:spacing w:after="0"/>
            </w:pPr>
            <w:r>
              <w:rPr>
                <w:sz w:val="14"/>
              </w:rPr>
              <w:t>70 pts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Servidor completo; panel parcial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Panel +8 días; 2 historias arrastradas</w:t>
            </w:r>
          </w:p>
        </w:tc>
      </w:tr>
      <w:tr>
        <w:tc>
          <w:tcPr>
            <w:tcW w:type="dxa" w:w="455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144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29 – 30/08 (replanificado desde 24 – 28/08)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sáb 29/08</w:t>
            </w:r>
          </w:p>
        </w:tc>
        <w:tc>
          <w:tcPr>
            <w:tcW w:type="dxa" w:w="4553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La app móvil recorre el flujo del cliente y del maestro</w:t>
            </w:r>
          </w:p>
        </w:tc>
        <w:tc>
          <w:tcPr>
            <w:tcW w:type="dxa" w:w="75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42 pts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42 de 42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−1 día</w:t>
            </w:r>
          </w:p>
        </w:tc>
      </w:tr>
      <w:tr>
        <w:tc>
          <w:tcPr>
            <w:tcW w:type="dxa" w:w="455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4"/>
              </w:rPr>
              <w:t>03 – 11/09</w:t>
            </w:r>
          </w:p>
        </w:tc>
        <w:tc>
          <w:tcPr>
            <w:tcW w:type="dxa" w:w="2656"/>
          </w:tcPr>
          <w:p>
            <w:pPr>
              <w:spacing w:after="0"/>
            </w:pPr>
            <w:r>
              <w:rPr>
                <w:sz w:val="14"/>
              </w:rPr>
              <w:t>mié 09/09</w:t>
            </w:r>
          </w:p>
        </w:tc>
        <w:tc>
          <w:tcPr>
            <w:tcW w:type="dxa" w:w="4553"/>
          </w:tcPr>
          <w:p>
            <w:pPr>
              <w:spacing w:after="0"/>
            </w:pPr>
            <w:r>
              <w:rPr>
                <w:sz w:val="14"/>
              </w:rPr>
              <w:t>Las dos vías dejan de apoyarse en andamiaje</w:t>
            </w:r>
          </w:p>
        </w:tc>
        <w:tc>
          <w:tcPr>
            <w:tcW w:type="dxa" w:w="759"/>
          </w:tcPr>
          <w:p>
            <w:pPr>
              <w:spacing w:after="0"/>
            </w:pPr>
            <w:r>
              <w:rPr>
                <w:sz w:val="14"/>
              </w:rPr>
              <w:t>65 pts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65 + 80 de reserva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−2 días</w:t>
            </w:r>
          </w:p>
        </w:tc>
      </w:tr>
      <w:tr>
        <w:tc>
          <w:tcPr>
            <w:tcW w:type="dxa" w:w="455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144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09 – 25/09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mar 29/09</w:t>
            </w:r>
          </w:p>
        </w:tc>
        <w:tc>
          <w:tcPr>
            <w:tcW w:type="dxa" w:w="4553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La torre ve lo que hace el flujo; proveedores reales</w:t>
            </w:r>
          </w:p>
        </w:tc>
        <w:tc>
          <w:tcPr>
            <w:tcW w:type="dxa" w:w="75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108 pts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95 + 183 de reserva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+4 días</w:t>
            </w:r>
          </w:p>
        </w:tc>
      </w:tr>
      <w:tr>
        <w:tc>
          <w:tcPr>
            <w:tcW w:type="dxa" w:w="455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4"/>
              </w:rPr>
              <w:t>30/09 – 16/10</w:t>
            </w:r>
          </w:p>
        </w:tc>
        <w:tc>
          <w:tcPr>
            <w:tcW w:type="dxa" w:w="2656"/>
          </w:tcPr>
          <w:p>
            <w:pPr>
              <w:spacing w:after="0"/>
            </w:pPr>
            <w:r>
              <w:rPr>
                <w:sz w:val="14"/>
              </w:rPr>
              <w:t>jue 15/10</w:t>
            </w:r>
          </w:p>
        </w:tc>
        <w:tc>
          <w:tcPr>
            <w:tcW w:type="dxa" w:w="4553"/>
          </w:tcPr>
          <w:p>
            <w:pPr>
              <w:spacing w:after="0"/>
            </w:pPr>
            <w:r>
              <w:rPr>
                <w:sz w:val="14"/>
              </w:rPr>
              <w:t>Disputas, instrumentación y licencia SEC</w:t>
            </w:r>
          </w:p>
        </w:tc>
        <w:tc>
          <w:tcPr>
            <w:tcW w:type="dxa" w:w="759"/>
          </w:tcPr>
          <w:p>
            <w:pPr>
              <w:spacing w:after="0"/>
            </w:pPr>
            <w:r>
              <w:rPr>
                <w:sz w:val="14"/>
              </w:rPr>
              <w:t>71 pts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71 de 71 + 11 de reserva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−1 día</w:t>
            </w:r>
          </w:p>
        </w:tc>
      </w:tr>
      <w:tr>
        <w:tc>
          <w:tcPr>
            <w:tcW w:type="dxa" w:w="455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144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19 – 30/10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  <w:tc>
          <w:tcPr>
            <w:tcW w:type="dxa" w:w="4553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Revisión de aceptación del MVP (hito de octubre)</w:t>
            </w:r>
          </w:p>
        </w:tc>
        <w:tc>
          <w:tcPr>
            <w:tcW w:type="dxa" w:w="75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20 pts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352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455"/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1442"/>
          </w:tcPr>
          <w:p>
            <w:pPr>
              <w:spacing w:after="0"/>
            </w:pPr>
            <w:r>
              <w:rPr>
                <w:sz w:val="14"/>
              </w:rPr>
              <w:t>02 – 13/11</w:t>
            </w:r>
          </w:p>
        </w:tc>
        <w:tc>
          <w:tcPr>
            <w:tcW w:type="dxa" w:w="2656"/>
          </w:tcPr>
          <w:p>
            <w:pPr>
              <w:spacing w:after="0"/>
            </w:pPr>
            <w:r>
              <w:rPr>
                <w:sz w:val="14"/>
              </w:rPr>
              <w:t>planificado</w:t>
            </w:r>
          </w:p>
        </w:tc>
        <w:tc>
          <w:tcPr>
            <w:tcW w:type="dxa" w:w="4553"/>
          </w:tcPr>
          <w:p>
            <w:pPr>
              <w:spacing w:after="0"/>
            </w:pPr>
            <w:r>
              <w:rPr>
                <w:sz w:val="14"/>
              </w:rPr>
              <w:t>Contingencia para lo que espera a terceros</w:t>
            </w:r>
          </w:p>
        </w:tc>
        <w:tc>
          <w:tcPr>
            <w:tcW w:type="dxa" w:w="759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2352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2. Gantt de actividades del plan de trabajo (semanas del semestre)</w:t>
      </w:r>
    </w:p>
    <w:p>
      <w:r>
        <w:rPr>
          <w:sz w:val="18"/>
        </w:rPr>
        <w:t>Semana 1 = 03-08-2026. ■ planificado en la Fase 1 · ■ ejecutado · ■ ejecutado fuera de lo planificado · ■ en curso o pendiente.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  <w:tblBorders>
          <w:top w:val="single" w:sz="4" w:space="0" w:color="9AA3B5"/>
          <w:left w:val="single" w:sz="4" w:space="0" w:color="9AA3B5"/>
          <w:bottom w:val="single" w:sz="4" w:space="0" w:color="9AA3B5"/>
          <w:right w:val="single" w:sz="4" w:space="0" w:color="9AA3B5"/>
          <w:insideH w:val="single" w:sz="4" w:space="0" w:color="9AA3B5"/>
          <w:insideV w:val="single" w:sz="4" w:space="0" w:color="9AA3B5"/>
        </w:tblBorders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Actividad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Resp.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2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3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4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5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6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7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8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9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10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11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12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13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14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15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16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17</w:t>
            </w:r>
          </w:p>
        </w:tc>
        <w:tc>
          <w:tcPr>
            <w:tcW w:type="dxa" w:w="454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18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Levantamiento y definición de requerimientos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MP + equipo</w:t>
            </w: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Completado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Preparación del entorno de trabajo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MP</w:t>
            </w: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1247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Completado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Diseño de arquitectura y modelo de datos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MP</w:t>
            </w: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Completado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Diseño de interfaz y prototipo navegable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TS</w:t>
            </w: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1247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Completado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Construcción del servidor y de la base de datos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MP</w:t>
            </w: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Aplicación móvil y panel de administración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TS / MP</w:t>
            </w: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1247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Integración del pago dentro de la plataforma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MP</w:t>
            </w: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D9D9D9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Ajustada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Diseño y ejecución de pruebas (automáticas en cada cambio)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Equipo</w:t>
            </w: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</w:tcPr>
          <w:p>
            <w:pPr>
              <w:spacing w:after="0"/>
            </w:pPr>
          </w:p>
        </w:tc>
        <w:tc>
          <w:tcPr>
            <w:tcW w:type="dxa" w:w="1247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Ajustada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Corrección de hallazgos y ajustes del producto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MP / TS</w:t>
            </w: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Documentación del proyecto y seguimiento de sprints</w:t>
            </w:r>
          </w:p>
        </w:tc>
        <w:tc>
          <w:tcPr>
            <w:tcW w:type="dxa" w:w="1020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NS / MP</w:t>
            </w: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2E75B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2F6FB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1247"/>
            <w:shd w:val="clear" w:color="auto" w:fill="F2F6FB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sz w:val="14"/>
              </w:rPr>
              <w:t>Despliegue en entorno de prueba y cierre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4"/>
              </w:rPr>
              <w:t>Equipo</w:t>
            </w: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9DC3E6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  <w:shd w:val="clear" w:color="auto" w:fill="F4B183"/>
          </w:tcPr>
          <w:p>
            <w:pPr>
              <w:spacing w:after="0"/>
            </w:pPr>
          </w:p>
        </w:tc>
        <w:tc>
          <w:tcPr>
            <w:tcW w:type="dxa" w:w="454"/>
          </w:tcPr>
          <w:p>
            <w:pPr>
              <w:spacing w:after="0"/>
            </w:pP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4"/>
              </w:rPr>
              <w:t>En curso</w:t>
            </w:r>
          </w:p>
        </w:tc>
      </w:tr>
    </w:tbl>
    <w:p>
      <w:pPr>
        <w:spacing w:after="40"/>
      </w:pPr>
    </w:p>
    <w:p>
      <w:r>
        <w:rPr>
          <w:sz w:val="18"/>
        </w:rPr>
        <w:t>Colores: azul oscuro = planificado y ejecutado; azul claro = ejecutado antes o después de lo planificado; gris = planificado sin ejecución en esa semana; naranjo = planificado para las semanas que quedan (12 a 18). Semana actual: 11 (12 al 16-10-2026).</w:t>
      </w:r>
    </w:p>
    <w:p>
      <w:pPr>
        <w:pStyle w:val="Heading1"/>
      </w:pPr>
      <w:r>
        <w:t>3. Desviaciones principales respecto de la planificación de la Fase 1</w:t>
      </w:r>
    </w:p>
    <w:p>
      <w:pPr>
        <w:pStyle w:val="BodyText"/>
      </w:pPr>
      <w:r>
        <w:rPr>
          <w:b/>
        </w:rPr>
        <w:t>La construcción empezó antes y en paralelo.</w:t>
      </w:r>
      <w:r>
        <w:t xml:space="preserve"> El plan de la Fase 1 era secuencial (diseño, luego servidor, luego app, luego pruebas). Con Scrum se trabajó por funcionalidades completas desde el Sprint 2, de modo que servidor, app y panel avanzaron a la vez.</w:t>
      </w:r>
    </w:p>
    <w:p>
      <w:pPr>
        <w:pStyle w:val="BodyText"/>
      </w:pPr>
      <w:r>
        <w:rPr>
          <w:b/>
        </w:rPr>
        <w:t>La app móvil pasó a Mauricio Poblete.</w:t>
      </w:r>
      <w:r>
        <w:t xml:space="preserve"> El plan asignaba la app y el panel a Tania Sáez; desde el Sprint 4 la app la construye Mauricio, porque avanza de la mano con el servidor, y Tania Sáez se concentra en la torre de control y el diseño.</w:t>
      </w:r>
    </w:p>
    <w:p>
      <w:pPr>
        <w:pStyle w:val="BodyText"/>
      </w:pPr>
      <w:r>
        <w:rPr>
          <w:b/>
        </w:rPr>
        <w:t>El pago se integró antes.</w:t>
      </w:r>
      <w:r>
        <w:t xml:space="preserve"> Se construyó detrás de un componente intercambiable con simulador desde el Sprint 3, en vez de las semanas 9 y 10. La conexión con la pasarela real quedó para el Sprint 9, porque depende de una evaluación comercial que el cliente aún no responde.</w:t>
      </w:r>
    </w:p>
    <w:p>
      <w:pPr>
        <w:pStyle w:val="BodyText"/>
      </w:pPr>
      <w:r>
        <w:rPr>
          <w:b/>
        </w:rPr>
        <w:t>Las pruebas son continuas y automáticas.</w:t>
      </w:r>
      <w:r>
        <w:t xml:space="preserve"> En lugar de una planilla de casos al final, cada cambio exige pruebas automáticas que se ejecutan antes de integrarlo (cerca de 4.800 en total), más recorridos manuales en emulador y teléfono físico.</w:t>
      </w:r>
    </w:p>
    <w:p>
      <w:pPr>
        <w:pStyle w:val="BodyText"/>
      </w:pPr>
      <w:r>
        <w:rPr>
          <w:b/>
        </w:rPr>
        <w:t>El despliegue se adelantó.</w:t>
      </w:r>
      <w:r>
        <w:t xml:space="preserve"> El entorno de prueba en la nube existe desde el 06-09-2026 (semana 6), no desde las semanas 16 y 17.</w:t>
      </w:r>
    </w:p>
    <w:p>
      <w:pPr>
        <w:pStyle w:val="BodyText"/>
      </w:pPr>
      <w:r>
        <w:rPr>
          <w:b/>
        </w:rPr>
        <w:t>Nayareth Suárez se incorporó al desarrollo el 05-10-2026</w:t>
      </w:r>
      <w:r>
        <w:t xml:space="preserve"> con el tablero de métricas, en vez del plan de pruebas descrito en la Fase 1; antes su aporte estuvo en las evidencias académicas y el seguimiento documental.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RELWO · Portafolio de Título (PTY4614) · Duoc UC Plaza Norte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Calibri" w:hAnsi="Calibri"/>
      <w:b/>
      <w:bCs/>
      <w:i/>
      <w:iCs/>
      <w:color w:val="2E75B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80"/>
      <w:outlineLvl w:val="4"/>
    </w:pPr>
    <w:rPr>
      <w:rFonts w:ascii="Calibri" w:hAnsi="Calibri"/>
      <w:b/>
      <w:color w:val="595959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