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2 — La torre de control existe</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17 de agosto de 2026</w:t>
      </w:r>
    </w:p>
    <w:p>
      <w:pPr>
        <w:pStyle w:val="BodyText"/>
      </w:pPr>
      <w:r>
        <w:rPr>
          <w:b/>
          <w:bCs/>
        </w:rPr>
        <w:t xml:space="preserve">Ventana:</w:t>
      </w:r>
      <w:r>
        <w:t xml:space="preserve"> </w:t>
      </w:r>
      <w:r>
        <w:t xml:space="preserve">Lunes 10 al viernes 14 de agosto de 2026</w:t>
      </w:r>
    </w:p>
    <w:p>
      <w:pPr>
        <w:pStyle w:val="BodyText"/>
      </w:pPr>
      <w:r>
        <w:rPr>
          <w:b/>
          <w:bCs/>
        </w:rPr>
        <w:t xml:space="preserve">Cierre efectivo:</w:t>
      </w:r>
      <w:r>
        <w:t xml:space="preserve"> </w:t>
      </w:r>
      <w:r>
        <w:t xml:space="preserve">Lunes 17 de agosto de 2026</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Que la torre de control existiera como un panel navegable con las dos bandejas de solicitudes de registro, y que el servidor dejara de ser un riesgo para el trabajo de Tania: base de pruebas separada e integración continua antes de que el panel se conectara al servidor real. Dos de las tres cosas comprometidas por la vía del servidor no eran de producto y no se ven en una demostración, pero fueron primero de todas formas: una protegía directamente los datos con los que Tania trabajaba y la otra condicionaba todo lo que viniera después.</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r>
      <w:tr>
        <w:tc>
          <w:tcPr/>
          <w:p>
            <w:pPr>
              <w:pStyle w:val="Compact"/>
            </w:pPr>
            <w:r>
              <w:t xml:space="preserve">Tania Sáez</w:t>
            </w:r>
          </w:p>
        </w:tc>
        <w:tc>
          <w:tcPr/>
          <w:p>
            <w:pPr>
              <w:pStyle w:val="Compact"/>
            </w:pPr>
            <w:r>
              <w:t xml:space="preserve">18</w:t>
            </w:r>
          </w:p>
        </w:tc>
        <w:tc>
          <w:tcPr/>
          <w:p>
            <w:pPr>
              <w:pStyle w:val="Compact"/>
            </w:pPr>
            <w:r>
              <w:t xml:space="preserve">18</w:t>
            </w:r>
          </w:p>
        </w:tc>
      </w:tr>
      <w:tr>
        <w:tc>
          <w:tcPr/>
          <w:p>
            <w:pPr>
              <w:pStyle w:val="Compact"/>
            </w:pPr>
            <w:r>
              <w:t xml:space="preserve">Mauricio Poblete</w:t>
            </w:r>
          </w:p>
        </w:tc>
        <w:tc>
          <w:tcPr/>
          <w:p>
            <w:pPr>
              <w:pStyle w:val="Compact"/>
            </w:pPr>
            <w:r>
              <w:t xml:space="preserve">Cerca de 23</w:t>
            </w:r>
          </w:p>
        </w:tc>
        <w:tc>
          <w:tcPr/>
          <w:p>
            <w:pPr>
              <w:pStyle w:val="Compact"/>
            </w:pPr>
            <w:r>
              <w:t xml:space="preserve">23</w:t>
            </w:r>
          </w:p>
        </w:tc>
      </w:tr>
      <w:tr>
        <w:tc>
          <w:tcPr/>
          <w:p>
            <w:pPr>
              <w:pStyle w:val="Compact"/>
            </w:pPr>
            <w:r>
              <w:t xml:space="preserve">Nayareth Suárez</w:t>
            </w:r>
          </w:p>
        </w:tc>
        <w:tc>
          <w:tcPr/>
          <w:p>
            <w:pPr>
              <w:pStyle w:val="Compact"/>
            </w:pPr>
            <w:r>
              <w:t xml:space="preserve">—</w:t>
            </w:r>
          </w:p>
        </w:tc>
        <w:tc>
          <w:tcPr/>
          <w:p>
            <w:pPr>
              <w:pStyle w:val="Compact"/>
            </w:pPr>
            <w:r>
              <w:t xml:space="preserve">—</w:t>
            </w:r>
          </w:p>
        </w:tc>
      </w:tr>
      <w:tr>
        <w:tc>
          <w:tcPr/>
          <w:p>
            <w:pPr>
              <w:pStyle w:val="Compact"/>
            </w:pPr>
            <w:r>
              <w:t xml:space="preserve">Total del equipo</w:t>
            </w:r>
          </w:p>
        </w:tc>
        <w:tc>
          <w:tcPr/>
          <w:p>
            <w:pPr>
              <w:pStyle w:val="Compact"/>
            </w:pPr>
            <w:r>
              <w:t xml:space="preserve">Cerca de 41</w:t>
            </w:r>
          </w:p>
        </w:tc>
        <w:tc>
          <w:tcPr/>
          <w:p>
            <w:pPr>
              <w:pStyle w:val="Compact"/>
            </w:pPr>
            <w:r>
              <w:t xml:space="preserve">41</w:t>
            </w:r>
          </w:p>
        </w:tc>
      </w:tr>
    </w:tbl>
    <w:p>
      <w:pPr>
        <w:pStyle w:val="BodyText"/>
      </w:pPr>
      <w:r>
        <w:t xml:space="preserve">Tania Sáez trabajó en el panel de administración. Una de sus tres historias se entregó parcial, y así se declaró en la planificación: la bandeja de prestadores quedó sin la revisión de documentos porque el contrato aún no los expone. Mauricio Poblete, en el servidor, se hizo cargo de la base de pruebas separada, la integración continua y tres tareas de datos del flujo: roles y prestadores, perfil y hogares, y creación de la solicitud. Nayareth Suárez, en evidencias y seguimiento documental, concentró su aporte en este sprint en las evidencias académicas y en el seguimiento documental del proyecto. El total del equipo se comparó contra una capacidad supuesta de unos 22 puntos.</w:t>
      </w:r>
    </w:p>
    <w:p>
      <w:pPr>
        <w:pStyle w:val="BodyText"/>
      </w:pPr>
      <w:r>
        <w:t xml:space="preserve">La brecha entre lo comprometido y la capacidad supuesta se declaró por escrito en la planificación del lunes 10, no se descubrió el viernes. Se comprometió igual por dos razones: la capacidad supuesta se había estimado antes de contar con las herramientas de apoyo que el equipo incorporó al final del Sprint 1, y ese sprint había terminado entregando su fase completa. Fue una apuesta informada, no un cálculo, y quedó registrada como tal.</w:t>
      </w:r>
    </w:p>
    <w:p>
      <w:pPr>
        <w:pStyle w:val="BodyText"/>
      </w:pPr>
      <w:r>
        <w:t xml:space="preserve">Quedó fuera a propósito la máquina de estados del servicio y sus pruebas de aislamiento, que se difirieron al Sprint 3. Es la pieza más delicada del dominio y no debía hacerse contra el reloj.</w:t>
      </w:r>
    </w:p>
    <w:bookmarkEnd w:id="20"/>
    <w:bookmarkStart w:id="21" w:name="qué-construimos"/>
    <w:p>
      <w:pPr>
        <w:pStyle w:val="Heading1"/>
      </w:pPr>
      <w:r>
        <w:t xml:space="preserve">3. Qué construimos</w:t>
      </w:r>
    </w:p>
    <w:p>
      <w:pPr>
        <w:pStyle w:val="FirstParagraph"/>
      </w:pPr>
      <w:r>
        <w:rPr>
          <w:b/>
          <w:bCs/>
        </w:rPr>
        <w:t xml:space="preserve">Panel.</w:t>
      </w:r>
      <w:r>
        <w:t xml:space="preserve"> </w:t>
      </w:r>
      <w:r>
        <w:t xml:space="preserve">El panel se abre, navega entre sus seis módulos (prestadores, operaciones, pagos, disputas, configuración y métricas) y tiene una sesión simulada solo para desarrollo; la protección de rutas se construyó como si el ingreso fuera real, para cambiar la fuente de la sesión en el Sprint 3 sin rehacerla. La bandeja de solicitudes de registro de clientes filtra por tipo y estado, muestra el detalle y la antigüedad de cada solicitud, y alerta solo si hay un umbral cargado; el umbral arranca vacío y nadie inventó la cifra. La bandeja de prestadores quedó montada con la misma estructura, a la espera de que el servidor exponga los documentos para revisarlos. El panel se verificó en un navegador: se corrigieron dos defectos que las pruebas automáticas no podían ver (el encabezado en modo oscuro y un desborde horizontal en pantallas angostas) y se mejoraron el logotipo, los íconos por módulo y el contraste de los colores de aviso.</w:t>
      </w:r>
    </w:p>
    <w:p>
      <w:pPr>
        <w:pStyle w:val="BodyText"/>
      </w:pPr>
      <w:r>
        <w:rPr>
          <w:b/>
          <w:bCs/>
        </w:rPr>
        <w:t xml:space="preserve">Servidor y nube.</w:t>
      </w:r>
      <w:r>
        <w:t xml:space="preserve"> </w:t>
      </w:r>
      <w:r>
        <w:t xml:space="preserve">Las pruebas automáticas del servidor ya no borran los datos de desarrollo: corren contra una base propia. Cada cambio propuesto corre las pruebas y verifica que el contrato de la interfaz esté sincronizado antes de que una persona lo revise. El servidor conoce los roles de cada usuario y los datos del prestador, el perfil de cada cliente y sus hogares con comuna, y permite crear una solicitud con los datos del primer paso del flujo, fotografías incluidas.</w:t>
      </w:r>
    </w:p>
    <w:p>
      <w:pPr>
        <w:pStyle w:val="BodyText"/>
      </w:pPr>
      <w:r>
        <w:rPr>
          <w:b/>
          <w:bCs/>
        </w:rPr>
        <w:t xml:space="preserve">Definición del flujo.</w:t>
      </w:r>
      <w:r>
        <w:t xml:space="preserve"> </w:t>
      </w:r>
      <w:r>
        <w:t xml:space="preserve">El flujo de ejecución en terreno quedó especificado en catorce pasos, acordado con la parte comercial, sin tocar código.</w:t>
      </w:r>
    </w:p>
    <w:bookmarkEnd w:id="21"/>
    <w:bookmarkStart w:id="22" w:name="seguimiento-del-sprint"/>
    <w:p>
      <w:pPr>
        <w:pStyle w:val="Heading1"/>
      </w:pPr>
      <w:r>
        <w:t xml:space="preserve">4. Seguimiento del sprint</w:t>
      </w:r>
    </w:p>
    <w:p>
      <w:pPr>
        <w:pStyle w:val="FirstParagraph"/>
      </w:pPr>
      <w:r>
        <w:rPr>
          <w:b/>
          <w:bCs/>
        </w:rPr>
        <w:t xml:space="preserve">Lunes 10-08.</w:t>
      </w:r>
      <w:r>
        <w:t xml:space="preserve"> </w:t>
      </w:r>
      <w:r>
        <w:t xml:space="preserve">Planificación, con un acuerdo explícito: Tania no conecta el panel al servidor real hasta que la base de pruebas esté separada; mientras tanto trabaja contra un servidor simulado derivado del contrato. Se convocó la revisión del viernes con el Product Owner. La brecha de capacidad quedó declarada por escrito y dos tareas se difirieron al Sprint 3.</w:t>
      </w:r>
    </w:p>
    <w:p>
      <w:pPr>
        <w:pStyle w:val="BodyText"/>
      </w:pPr>
      <w:r>
        <w:rPr>
          <w:b/>
          <w:bCs/>
        </w:rPr>
        <w:t xml:space="preserve">Martes 11-08.</w:t>
      </w:r>
      <w:r>
        <w:t xml:space="preserve"> </w:t>
      </w:r>
      <w:r>
        <w:t xml:space="preserve">La base de pruebas separada y la integración continua quedaron integradas; a partir de ese día conectar el panel al servidor real es seguro. Tania publicó los 18 puntos del panel para revisión en un solo día, y la revisión los aprobó con dos correcciones bloqueantes y tres menores. Apareció un impedimento: el contrato no expone los documentos del prestador, así que esa historia se declaró parcial desde el martes, no se descubrió el viernes. En reunión con la parte comercial se acordó el flujo de ejecución en terreno de catorce pasos.</w:t>
      </w:r>
    </w:p>
    <w:p>
      <w:pPr>
        <w:pStyle w:val="BodyText"/>
      </w:pPr>
      <w:r>
        <w:rPr>
          <w:b/>
          <w:bCs/>
        </w:rPr>
        <w:t xml:space="preserve">Miércoles 12-08.</w:t>
      </w:r>
      <w:r>
        <w:t xml:space="preserve"> </w:t>
      </w:r>
      <w:r>
        <w:t xml:space="preserve">Tania aplicó las cinco correcciones y el trabajo del panel se integró el mismo día. Las tres tareas de datos del servidor quedaron construidas y en revisión, y las convenciones del panel pasaron a la documentación versionada. El flujo en terreno cambió documentación, no código: los primeros seis pasos del flujo no se tocaron. El recordatorio de escalar los ocho vacíos del flujo no se activó, porque entraron a la sesión de decisiones del jueves.</w:t>
      </w:r>
    </w:p>
    <w:p>
      <w:pPr>
        <w:pStyle w:val="BodyText"/>
      </w:pPr>
      <w:r>
        <w:rPr>
          <w:b/>
          <w:bCs/>
        </w:rPr>
        <w:t xml:space="preserve">Jueves 13-08.</w:t>
      </w:r>
      <w:r>
        <w:t xml:space="preserve"> </w:t>
      </w:r>
      <w:r>
        <w:t xml:space="preserve">Las tareas del servidor se integraron y el compromiso quedó completo, 41 de 41. En la sesión de cierre de decisiones de producto con el cliente se tomaron 22 decisiones que cerraron los ocho vacíos del flujo, la recurrencia de limpieza, los parámetros de asignación y un bloqueo que había quedado con número duplicado. Se fijó por adelantado el compromiso del Sprint 3. Al cierre del día no quedaba ninguna decisión de producto abierta, ninguna contradicción ni bloqueo, y el Sprint 3 podía arrancar con la máquina de estados sin esperas.</w:t>
      </w:r>
    </w:p>
    <w:p>
      <w:pPr>
        <w:pStyle w:val="BodyText"/>
      </w:pPr>
      <w:r>
        <w:rPr>
          <w:b/>
          <w:bCs/>
        </w:rPr>
        <w:t xml:space="preserve">Viernes 14-08.</w:t>
      </w:r>
      <w:r>
        <w:t xml:space="preserve"> </w:t>
      </w:r>
      <w:r>
        <w:t xml:space="preserve">Se presentó el incremento al cliente y se hizo la retrospectiva. Se fijó que la revisión del viernes 21 sería además el hito de demostración del flujo del dinero. Las correcciones visuales del panel siguieron en curso y quedaron para la semana siguiente.</w:t>
      </w:r>
    </w:p>
    <w:p>
      <w:pPr>
        <w:pStyle w:val="BodyText"/>
      </w:pPr>
      <w:r>
        <w:rPr>
          <w:b/>
          <w:bCs/>
        </w:rPr>
        <w:t xml:space="preserve">Lunes 17-08.</w:t>
      </w:r>
      <w:r>
        <w:t xml:space="preserve"> </w:t>
      </w:r>
      <w:r>
        <w:t xml:space="preserve">Cierre efectivo: se revisó y aprobó el trabajo del panel visto en navegador, última pieza del incremento, y el Sprint 3 arrancó con el panel integrado.</w:t>
      </w:r>
    </w:p>
    <w:bookmarkEnd w:id="22"/>
    <w:bookmarkStart w:id="23" w:name="revisión-del-sprint"/>
    <w:p>
      <w:pPr>
        <w:pStyle w:val="Heading1"/>
      </w:pPr>
      <w:r>
        <w:t xml:space="preserve">5. Revisión del sprint</w:t>
      </w:r>
    </w:p>
    <w:p>
      <w:pPr>
        <w:pStyle w:val="FirstParagraph"/>
      </w:pPr>
      <w:r>
        <w:t xml:space="preserve">El incremento se presentó al cliente el viernes 14 de agosto. Se mostró el panel navegando con sesión y protección de rutas, las dos bandejas de registro con datos, la base de pruebas separada y la integración continua funcionando, y las nuevas tablas del servidor. El objetivo del sprint se cumplió; lo único que no se construyó fue la revisión de documentos del prestador, declarada parcial desde el martes porque dependía de una pieza del servidor que viene en una fase posterior. El cliente no tuvo observaciones que cambiaran el plan. Quedó tomado en la misma sesión que todas las cifras configurables que arrancan vacías (plazos de revisión, umbral de comunas, cargos, topes, vigencias y rangos de tarifa) se cargarán desde la torre de control cuando el cliente las fije, sin necesidad de un nuevo despliegue.</w:t>
      </w:r>
    </w:p>
    <w:p>
      <w:pPr>
        <w:pStyle w:val="BodyText"/>
      </w:pPr>
      <w:r>
        <w:t xml:space="preserve">Al Sprint 3 pasó trabajo del panel en tres frentes. En accesibilidad, subir el contraste de la etiqueta de alerta de la bandeja a 4,5:1 o más, con la cifra anotada, y agregar navegación con teclado por bandeja y detalle, junto con los tres estados de carga (vacío, error y cargando). En calidad, los seis puntos restantes de la revisión del primer trabajo del panel. Y en integración, la revisión de documentos del prestador, cuando el servidor publique esa parte del contrato, y el entorno local del panel con base de datos, para apagar el servidor simulado y conectar al servidor real.</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El contrato congelado hizo su trabajo: cero retrabajo en el panel durante todo el sprint; las bandejas consumieron el contrato publicado el 8 de agosto sin que cambiara una línea. La costura de sesión quedó bien puesta: cambiar la sesión simulada por el ingreso real es cambiar una sola pieza, sin tocar la protección de rutas. La integración continua filtró lo mecánico antes de la revisión humana: desde el martes cada cambio corre la suite y la verificación del contrato solo.</w:t>
      </w:r>
    </w:p>
    <w:p>
      <w:pPr>
        <w:pStyle w:val="BodyText"/>
      </w:pPr>
      <w:r>
        <w:t xml:space="preserve">Cerrar todas las decisiones de producto antes del sprint del dinero permitió que el Sprint 3 arrancara sin un solo bloqueo. Mirar el panel en un navegador encontró lo que 125 pruebas automáticas no podían ver, y dejó el hábito de declarar cifras de contraste calculadas y no estimadas. Además, los cambios llegan a revisión con lo no probado declarado por quien los escribe, así la revisión toma minutos.</w:t>
      </w:r>
    </w:p>
    <w:p>
      <w:pPr>
        <w:pStyle w:val="BodyText"/>
      </w:pPr>
      <w:r>
        <w:rPr>
          <w:b/>
          <w:bCs/>
        </w:rPr>
        <w:t xml:space="preserve">Lo que nos costó.</w:t>
      </w:r>
      <w:r>
        <w:t xml:space="preserve"> </w:t>
      </w:r>
      <w:r>
        <w:t xml:space="preserve">La verificación en navegador tardó seis sesiones de trabajo en ocurrir; el encabezado roto en modo oscuro y el desborde vivieron invisibles todo ese tiempo, y cualquier demostración los habría mostrado. La bandeja de prestadores solo pudo construirse a medias porque el contrato no exponía sus documentos.</w:t>
      </w:r>
    </w:p>
    <w:p>
      <w:pPr>
        <w:pStyle w:val="BodyText"/>
      </w:pPr>
      <w:r>
        <w:t xml:space="preserve">Un número de bloqueo se reutilizó sin revisar el registro y nombró dos cosas distintas; costó una nota de desambiguación y revisar cuatro documentos. El cierre de decisiones dejó documentos desincronizados por horas: un documento rector siguió mostrando abierto un bloqueo ya cerrado hasta que se corrigió el mismo día. Y el panel tuvo que integrar los cambios del servidor dos veces en un mismo día para no quedar atrás; sin una hora fija de integración, una vía persigue a la otra.</w:t>
      </w:r>
    </w:p>
    <w:p>
      <w:pPr>
        <w:pStyle w:val="BodyText"/>
      </w:pPr>
      <w:r>
        <w:rPr>
          <w:b/>
          <w:bCs/>
        </w:rPr>
        <w:t xml:space="preserve">Acciones de mejora</w:t>
      </w:r>
    </w:p>
    <w:p>
      <w:pPr>
        <w:pStyle w:val="Compact"/>
        <w:numPr>
          <w:ilvl w:val="0"/>
          <w:numId w:val="1001"/>
        </w:numPr>
      </w:pPr>
      <w:r>
        <w:t xml:space="preserve">Tania mira todo cambio visual en un navegador en la misma sesión que lo produce, en modo claro y oscuro y al menos en dos anchos de pantalla; se verifica con la verificación registrada en la bitácora en cada sesión de trabajo del panel con cambio visual.</w:t>
      </w:r>
    </w:p>
    <w:p>
      <w:pPr>
        <w:pStyle w:val="Compact"/>
        <w:numPr>
          <w:ilvl w:val="0"/>
          <w:numId w:val="1001"/>
        </w:numPr>
      </w:pPr>
      <w:r>
        <w:t xml:space="preserve">Ambos dejan de asignar números nuevos de decisión, bloqueo o historia sin buscarlos antes en el registro; se verifica con cero duplicados nuevos al cierre del sprint.</w:t>
      </w:r>
    </w:p>
    <w:p>
      <w:pPr>
        <w:pStyle w:val="Compact"/>
        <w:numPr>
          <w:ilvl w:val="0"/>
          <w:numId w:val="1001"/>
        </w:numPr>
      </w:pPr>
      <w:r>
        <w:t xml:space="preserve">Ambos escriben la sincronización diaria en el tablero al momento, y si a las 18:00 no está, el otro la exige (si tampoco funciona esta semana, la retrospectiva decide si se cambia el formato); se verifica con cinco entradas al cierre del Sprint 3.</w:t>
      </w:r>
    </w:p>
    <w:p>
      <w:pPr>
        <w:pStyle w:val="Compact"/>
        <w:numPr>
          <w:ilvl w:val="0"/>
          <w:numId w:val="1001"/>
        </w:numPr>
      </w:pPr>
      <w:r>
        <w:t xml:space="preserve">Mauricio hace el ensayo completo de la demostración el jueves 20, contra el doble de prueba de pagos, con guion escrito; se verifica con la entrada en el tablero con el resultado del ensayo.</w:t>
      </w:r>
    </w:p>
    <w:p>
      <w:pPr>
        <w:pStyle w:val="Compact"/>
        <w:numPr>
          <w:ilvl w:val="0"/>
          <w:numId w:val="1001"/>
        </w:numPr>
      </w:pPr>
      <w:r>
        <w:t xml:space="preserve">Mauricio asegura la revisión del viernes 21 con el Product Owner presente, porque es el hito de demostración del flujo del dinero; se verifica con el acta del Sprint 3 con el resultado de la revisión.</w:t>
      </w:r>
    </w:p>
    <w:p>
      <w:pPr>
        <w:pStyle w:val="Compact"/>
        <w:numPr>
          <w:ilvl w:val="0"/>
          <w:numId w:val="1001"/>
        </w:numPr>
      </w:pPr>
      <w:r>
        <w:t xml:space="preserve">Ambos actualizan el contexto y los documentos rectores en el mismo cambio de todo cierre de decisiones; se verifica con ningún documento rector desfasado después de un cierre.</w:t>
      </w:r>
    </w:p>
    <w:p>
      <w:pPr>
        <w:pStyle w:val="FirstParagraph"/>
      </w:pPr>
      <w:r>
        <w:rPr>
          <w:b/>
          <w:bCs/>
        </w:rPr>
        <w:t xml:space="preserve">Seguimiento de las acciones del sprint anterior.</w:t>
      </w:r>
      <w:r>
        <w:t xml:space="preserve"> </w:t>
      </w:r>
      <w:r>
        <w:t xml:space="preserve">Las ocho acciones del Sprint 1 se cumplieron. La revisión se hizo con el cliente presente; la base de pruebas quedó separada el martes 11, antes de que Tania conectara; la integración continua corre desde el mismo día; la sincronización diaria tuvo una entrada por día; los ocho vacíos del flujo cerraron el 13 de agosto, un día antes del plazo; la historia parcial se declaró por adelantado y se entregó exactamente como se declaró; y la brecha de capacidad quedó escrita en la planificación.</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2026-10-19T18:43:29Z</dcterms:created>
  <dcterms:modified xsi:type="dcterms:W3CDTF">2026-10-19T18:43:29Z</dcterms:modified>
</cp:coreProperties>
</file>

<file path=docProps/custom.xml><?xml version="1.0" encoding="utf-8"?>
<Properties xmlns="http://schemas.openxmlformats.org/officeDocument/2006/custom-properties" xmlns:vt="http://schemas.openxmlformats.org/officeDocument/2006/docPropsVTypes"/>
</file>