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RELWO</w:t>
      </w:r>
    </w:p>
    <w:p>
      <w:pPr>
        <w:pStyle w:val="BodyText"/>
      </w:pPr>
      <w:r>
        <w:t xml:space="preserve">Plataforma de servicios a domicilio con pago en custodia</w:t>
      </w:r>
    </w:p>
    <w:p>
      <w:pPr>
        <w:pStyle w:val="BodyText"/>
      </w:pPr>
      <w:r>
        <w:rPr>
          <w:b/>
          <w:bCs/>
        </w:rPr>
        <w:t xml:space="preserve">Sprint 3 — El dinero fluye de punta a punta</w:t>
      </w:r>
    </w:p>
    <w:p>
      <w:pPr>
        <w:pStyle w:val="BodyText"/>
      </w:pPr>
      <w:r>
        <w:t xml:space="preserve">Ficha de sprint: planificación, seguimiento, revisión y retrospectiva</w:t>
      </w:r>
    </w:p>
    <w:p>
      <w:pPr>
        <w:pStyle w:val="BodyText"/>
      </w:pPr>
      <w:r>
        <w:rPr>
          <w:b/>
          <w:bCs/>
        </w:rPr>
        <w:t xml:space="preserve">Asignatura:</w:t>
      </w:r>
      <w:r>
        <w:t xml:space="preserve"> </w:t>
      </w:r>
      <w:r>
        <w:t xml:space="preserve">Portafolio de Título (Capstone) — PTY4614</w:t>
      </w:r>
    </w:p>
    <w:p>
      <w:pPr>
        <w:pStyle w:val="BodyText"/>
      </w:pPr>
      <w:r>
        <w:rPr>
          <w:b/>
          <w:bCs/>
        </w:rPr>
        <w:t xml:space="preserve">Carrera:</w:t>
      </w:r>
      <w:r>
        <w:t xml:space="preserve"> </w:t>
      </w:r>
      <w:r>
        <w:t xml:space="preserve">Ingeniería en Informática — Duoc UC, Sede Plaza Norte</w:t>
      </w:r>
    </w:p>
    <w:p>
      <w:pPr>
        <w:pStyle w:val="BodyText"/>
      </w:pPr>
      <w:r>
        <w:rPr>
          <w:b/>
          <w:bCs/>
        </w:rPr>
        <w:t xml:space="preserve">Equipo:</w:t>
      </w:r>
      <w:r>
        <w:t xml:space="preserve"> </w:t>
      </w:r>
      <w:r>
        <w:t xml:space="preserve">Mauricio Poblete · Tania Sáez · Nayareth Suárez</w:t>
      </w:r>
    </w:p>
    <w:p>
      <w:pPr>
        <w:pStyle w:val="BodyText"/>
      </w:pPr>
      <w:r>
        <w:rPr>
          <w:b/>
          <w:bCs/>
        </w:rPr>
        <w:t xml:space="preserve">Fase:</w:t>
      </w:r>
      <w:r>
        <w:t xml:space="preserve"> </w:t>
      </w:r>
      <w:r>
        <w:t xml:space="preserve">Fase 2 — Desarrollo y ejecución</w:t>
      </w:r>
    </w:p>
    <w:p>
      <w:pPr>
        <w:pStyle w:val="BodyText"/>
      </w:pPr>
      <w:r>
        <w:rPr>
          <w:b/>
          <w:bCs/>
        </w:rPr>
        <w:t xml:space="preserve">Fecha:</w:t>
      </w:r>
      <w:r>
        <w:t xml:space="preserve"> </w:t>
      </w:r>
      <w:r>
        <w:t xml:space="preserve">29 de agosto de 2026</w:t>
      </w:r>
    </w:p>
    <w:p>
      <w:pPr>
        <w:pStyle w:val="BodyText"/>
      </w:pPr>
      <w:r>
        <w:rPr>
          <w:b/>
          <w:bCs/>
        </w:rPr>
        <w:t xml:space="preserve">Ventana:</w:t>
      </w:r>
      <w:r>
        <w:t xml:space="preserve"> </w:t>
      </w:r>
      <w:r>
        <w:t xml:space="preserve">Lunes 17 al viernes 21 de agosto de 2026</w:t>
      </w:r>
    </w:p>
    <w:p>
      <w:pPr>
        <w:pStyle w:val="BodyText"/>
      </w:pPr>
      <w:r>
        <w:rPr>
          <w:b/>
          <w:bCs/>
        </w:rPr>
        <w:t xml:space="preserve">Cierre efectivo:</w:t>
      </w:r>
      <w:r>
        <w:t xml:space="preserve"> </w:t>
      </w:r>
      <w:r>
        <w:t xml:space="preserve">Servidor: miércoles 19 de agosto · Panel: sábado 29 de agosto de 2026</w:t>
      </w:r>
    </w:p>
    <w:p>
      <w:pPr>
        <w:pStyle w:val="BodyText"/>
      </w:pPr>
      <w:r>
        <w:rPr>
          <w:b/>
          <w:bCs/>
        </w:rPr>
        <w:t xml:space="preserve">Estado:</w:t>
      </w:r>
      <w:r>
        <w:t xml:space="preserve"> </w:t>
      </w:r>
      <w:r>
        <w:t xml:space="preserve">Sprint cerrado</w:t>
      </w:r>
    </w:p>
    <w:p>
      <w:r>
        <w:br w:type="page"/>
      </w:r>
    </w:p>
    <w:bookmarkStart w:id="19" w:name="objetivo-del-sprint"/>
    <w:p>
      <w:pPr>
        <w:pStyle w:val="Heading1"/>
      </w:pPr>
      <w:r>
        <w:t xml:space="preserve">1. Objetivo del sprint</w:t>
      </w:r>
    </w:p>
    <w:p>
      <w:pPr>
        <w:pStyle w:val="FirstParagraph"/>
      </w:pPr>
      <w:r>
        <w:t xml:space="preserve">Que el dinero fluyera de punta a punta contra un doble de prueba de la pasarela de pago —solicitud, asignación manual, cotización, aceptación, cobro en custodia y cierre por código— y demostrarlo al cliente el viernes 21 de agosto, que era el hito de demostración comprometido en el alcance acordado. Y que el panel dejara de ser una maqueta: ingreso real y resolución de solicitudes de registro contra el servidor. Era el sprint con menos holgura del proyecto, y por eso el compromiso del servidor se había cerrado por adelantado, el 13 de agosto, y el ensayo de la demostración se fijó para el jueves y no para el viernes.</w:t>
      </w:r>
    </w:p>
    <w:bookmarkEnd w:id="19"/>
    <w:bookmarkStart w:id="20" w:name="planificación-y-compromiso"/>
    <w:p>
      <w:pPr>
        <w:pStyle w:val="Heading1"/>
      </w:pPr>
      <w:r>
        <w:t xml:space="preserve">2. Planificación y compromiso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Persona</w:t>
            </w:r>
          </w:p>
        </w:tc>
        <w:tc>
          <w:tcPr/>
          <w:p>
            <w:pPr>
              <w:pStyle w:val="Compact"/>
            </w:pPr>
            <w:r>
              <w:t xml:space="preserve">Comprometido</w:t>
            </w:r>
          </w:p>
        </w:tc>
        <w:tc>
          <w:tcPr/>
          <w:p>
            <w:pPr>
              <w:pStyle w:val="Compact"/>
            </w:pPr>
            <w:r>
              <w:t xml:space="preserve">Entregado</w:t>
            </w:r>
          </w:p>
        </w:tc>
      </w:tr>
      <w:tr>
        <w:tc>
          <w:tcPr/>
          <w:p>
            <w:pPr>
              <w:pStyle w:val="Compact"/>
            </w:pPr>
            <w:r>
              <w:t xml:space="preserve">Mauricio Poblete</w:t>
            </w:r>
          </w:p>
        </w:tc>
        <w:tc>
          <w:tcPr/>
          <w:p>
            <w:pPr>
              <w:pStyle w:val="Compact"/>
            </w:pPr>
            <w:r>
              <w:t xml:space="preserve">50</w:t>
            </w:r>
          </w:p>
        </w:tc>
        <w:tc>
          <w:tcPr/>
          <w:p>
            <w:pPr>
              <w:pStyle w:val="Compact"/>
            </w:pPr>
            <w:r>
              <w:t xml:space="preserve">50</w:t>
            </w:r>
          </w:p>
        </w:tc>
      </w:tr>
      <w:tr>
        <w:tc>
          <w:tcPr/>
          <w:p>
            <w:pPr>
              <w:pStyle w:val="Compact"/>
            </w:pPr>
            <w:r>
              <w:t xml:space="preserve">Tania Sáez</w:t>
            </w:r>
          </w:p>
        </w:tc>
        <w:tc>
          <w:tcPr/>
          <w:p>
            <w:pPr>
              <w:pStyle w:val="Compact"/>
            </w:pPr>
            <w:r>
              <w:t xml:space="preserve">20</w:t>
            </w:r>
          </w:p>
        </w:tc>
        <w:tc>
          <w:tcPr/>
          <w:p>
            <w:pPr>
              <w:pStyle w:val="Compact"/>
            </w:pPr>
            <w:r>
              <w:t xml:space="preserve">Parcial</w:t>
            </w:r>
          </w:p>
        </w:tc>
      </w:tr>
      <w:tr>
        <w:tc>
          <w:tcPr/>
          <w:p>
            <w:pPr>
              <w:pStyle w:val="Compact"/>
            </w:pPr>
            <w:r>
              <w:t xml:space="preserve">Nayareth Suárez</w:t>
            </w:r>
          </w:p>
        </w:tc>
        <w:tc>
          <w:tcPr/>
          <w:p>
            <w:pPr>
              <w:pStyle w:val="Compact"/>
            </w:pPr>
            <w:r>
              <w:t xml:space="preserve">—</w:t>
            </w:r>
          </w:p>
        </w:tc>
        <w:tc>
          <w:tcPr/>
          <w:p>
            <w:pPr>
              <w:pStyle w:val="Compact"/>
            </w:pPr>
            <w:r>
              <w:t xml:space="preserve">—</w:t>
            </w:r>
          </w:p>
        </w:tc>
      </w:tr>
      <w:tr>
        <w:tc>
          <w:tcPr/>
          <w:p>
            <w:pPr>
              <w:pStyle w:val="Compact"/>
            </w:pPr>
            <w:r>
              <w:t xml:space="preserve">Total del equipo</w:t>
            </w:r>
          </w:p>
        </w:tc>
        <w:tc>
          <w:tcPr/>
          <w:p>
            <w:pPr>
              <w:pStyle w:val="Compact"/>
            </w:pPr>
            <w:r>
              <w:t xml:space="preserve">Cerca de 70</w:t>
            </w:r>
          </w:p>
        </w:tc>
        <w:tc>
          <w:tcPr/>
          <w:p>
            <w:pPr>
              <w:pStyle w:val="Compact"/>
            </w:pPr>
            <w:r>
              <w:t xml:space="preserve">Servidor completo; panel parcial</w:t>
            </w:r>
          </w:p>
        </w:tc>
      </w:tr>
    </w:tbl>
    <w:p>
      <w:pPr>
        <w:pStyle w:val="BodyText"/>
      </w:pPr>
      <w:r>
        <w:t xml:space="preserve">Mauricio Poblete, en el servidor, completó su compromiso el miércoles 19, dos días antes del hito; el ingreso real llegó un día antes de su fecha interna. Tania Sáez, en el panel de administración, entregó el entorno conectado al servidor real (2 puntos) y parte de las correcciones de la revisión anterior. Las dos historias de cinco puntos (resolución de solicitudes e ingreso real) y el resto de las correcciones se arrastraron, y su trabajo se integró el 29 de agosto. Nayareth Suárez, en evidencias y seguimiento documental, concentró su aporte en este sprint en las evidencias académicas y en el seguimiento documental del proyecto. El total del equipo se comparó contra una capacidad supuesta original de unos 22 puntos.</w:t>
      </w:r>
    </w:p>
    <w:p>
      <w:pPr>
        <w:pStyle w:val="BodyText"/>
      </w:pPr>
      <w:r>
        <w:t xml:space="preserve">Fue el sprint más cargado del proyecto hasta ese momento, y la brecha volvió a declararse como una apuesta informada. Tres cosas la hacían defendible: el compromiso del servidor estaba ordenado con el camino del hito primero, de modo que lo único que podía ceder sin tocar la demostración eran las pruebas de aislamiento, el redondeo y el orden de la autenticación; el cierre total de decisiones del 13 de agosto había eliminado toda espera por definiciones del cliente; y la integración continua descargaba la revisión única.</w:t>
      </w:r>
    </w:p>
    <w:p>
      <w:pPr>
        <w:pStyle w:val="BodyText"/>
      </w:pPr>
      <w:r>
        <w:t xml:space="preserve">Quedó fuera a propósito el resto del módulo de pagos (cargos adicionales y conciliación), la mensajería y la aplicación móvil, que esperaban al Sprint 4. La revisión de documentos del prestador en el panel tampoco se comprometió, porque seguía sin contrato.</w:t>
      </w:r>
    </w:p>
    <w:bookmarkEnd w:id="20"/>
    <w:bookmarkStart w:id="21" w:name="qué-construimos"/>
    <w:p>
      <w:pPr>
        <w:pStyle w:val="Heading1"/>
      </w:pPr>
      <w:r>
        <w:t xml:space="preserve">3. Qué construimos</w:t>
      </w:r>
    </w:p>
    <w:p>
      <w:pPr>
        <w:pStyle w:val="FirstParagraph"/>
      </w:pPr>
      <w:r>
        <w:rPr>
          <w:b/>
          <w:bCs/>
        </w:rPr>
        <w:t xml:space="preserve">Servidor y nube.</w:t>
      </w:r>
      <w:r>
        <w:t xml:space="preserve"> </w:t>
      </w:r>
      <w:r>
        <w:t xml:space="preserve">La máquina de estados del servicio garantiza que cada servicio solo pueda pasar de un estado a otro por las transiciones permitidas, y la base de datos lo asegura aunque alguien escriba por fuera de la aplicación. El total de un servicio se calcula solo en el servidor, con pruebas que fallan si un valor enviado por el cliente llega a influir en el monto. El maestro cotiza sobre la oferta tomada y las comisiones son un dato configurable, no una cifra escrita en el código. Los montos se redondean al peso superior y el residuo queda registrado.</w:t>
      </w:r>
    </w:p>
    <w:p>
      <w:pPr>
        <w:pStyle w:val="BodyText"/>
      </w:pPr>
      <w:r>
        <w:rPr>
          <w:b/>
          <w:bCs/>
        </w:rPr>
        <w:t xml:space="preserve">Pagos y demostración.</w:t>
      </w:r>
      <w:r>
        <w:t xml:space="preserve"> </w:t>
      </w:r>
      <w:r>
        <w:t xml:space="preserve">El pago en custodia funciona contra un doble de prueba de la pasarela: retener, liberar, reembolsar parcialmente y registrar deuda; el servicio se cierra con un código de tres dígitos que ingresa el maestro. Existe la asignación manual de un maestro desde la torre de control, que es lo que el hito de demostración necesitaba mientras el motor automático espera. Una prueba automática recorre el flujo completo de la solicitud al cierre; es el mismo guion que se demostró el viernes.</w:t>
      </w:r>
    </w:p>
    <w:p>
      <w:pPr>
        <w:pStyle w:val="BodyText"/>
      </w:pPr>
      <w:r>
        <w:rPr>
          <w:b/>
          <w:bCs/>
        </w:rPr>
        <w:t xml:space="preserve">Ingreso y seguridad.</w:t>
      </w:r>
      <w:r>
        <w:t xml:space="preserve"> </w:t>
      </w:r>
      <w:r>
        <w:t xml:space="preserve">Quedó el ingreso real por correo y contraseña, con sesiones que se pueden revocar, permisos por rol denegados por defecto y límite de intentos, lo que salda una deuda técnica del Sprint 1.</w:t>
      </w:r>
    </w:p>
    <w:p>
      <w:pPr>
        <w:pStyle w:val="BodyText"/>
      </w:pPr>
      <w:r>
        <w:rPr>
          <w:b/>
          <w:bCs/>
        </w:rPr>
        <w:t xml:space="preserve">Panel.</w:t>
      </w:r>
      <w:r>
        <w:t xml:space="preserve"> </w:t>
      </w:r>
      <w:r>
        <w:t xml:space="preserve">El panel dejó de usar el servidor simulado y habla con el servidor real; la bandeja de registro se muestra como cuadrícula de tarjetas accesibles, y el marco tiene saludo, reloj y salida.</w:t>
      </w:r>
    </w:p>
    <w:bookmarkEnd w:id="21"/>
    <w:bookmarkStart w:id="22" w:name="seguimiento-del-sprint"/>
    <w:p>
      <w:pPr>
        <w:pStyle w:val="Heading1"/>
      </w:pPr>
      <w:r>
        <w:t xml:space="preserve">4. Seguimiento del sprint</w:t>
      </w:r>
    </w:p>
    <w:p>
      <w:pPr>
        <w:pStyle w:val="FirstParagraph"/>
      </w:pPr>
      <w:r>
        <w:rPr>
          <w:b/>
          <w:bCs/>
        </w:rPr>
        <w:t xml:space="preserve">Lunes 17-08.</w:t>
      </w:r>
      <w:r>
        <w:t xml:space="preserve"> </w:t>
      </w:r>
      <w:r>
        <w:t xml:space="preserve">En la planificación se ratificó el compromiso del servidor fijado el 13 y se estimó la mensajería para el sprint siguiente. La máquina de estados y sus pruebas quedaron terminadas y en revisión. La base de datos del panel se instaló en el equipo de Tania, con Mauricio asistiendo por videollamada, y se convocó al cliente para el viernes 21. Hubo dos hallazgos sin bloqueo: el destino de una devolución parcial no estaba definido y un documento rector tenía desactualizados dos sub-estados del flujo.</w:t>
      </w:r>
    </w:p>
    <w:p>
      <w:pPr>
        <w:pStyle w:val="BodyText"/>
      </w:pPr>
      <w:r>
        <w:rPr>
          <w:b/>
          <w:bCs/>
        </w:rPr>
        <w:t xml:space="preserve">Martes 18-08.</w:t>
      </w:r>
      <w:r>
        <w:t xml:space="preserve"> </w:t>
      </w:r>
      <w:r>
        <w:t xml:space="preserve">La máquina de estados y las pruebas de aislamiento se integraron, y el núcleo del cálculo de precios quedó terminado y en revisión: 8 puntos terminados.</w:t>
      </w:r>
    </w:p>
    <w:p>
      <w:pPr>
        <w:pStyle w:val="BodyText"/>
      </w:pPr>
      <w:r>
        <w:rPr>
          <w:b/>
          <w:bCs/>
        </w:rPr>
        <w:t xml:space="preserve">Miércoles 19-08.</w:t>
      </w:r>
      <w:r>
        <w:t xml:space="preserve"> </w:t>
      </w:r>
      <w:r>
        <w:t xml:space="preserve">El ingreso real se integró un día antes de su fecha interna, junto con el cálculo de precios. Los pagos en custodia, el cierre por código, la asignación manual y la prueba del flujo completo quedaron terminados y en revisión, con lo que el compromiso del servidor quedó completo dos días antes del hito. Se registraron dos decisiones: el código de cierre lo ingresa el maestro y la verificación de canal es por correo.</w:t>
      </w:r>
    </w:p>
    <w:p>
      <w:pPr>
        <w:pStyle w:val="BodyText"/>
      </w:pPr>
      <w:r>
        <w:rPr>
          <w:b/>
          <w:bCs/>
        </w:rPr>
        <w:t xml:space="preserve">Jueves 20-08.</w:t>
      </w:r>
      <w:r>
        <w:t xml:space="preserve"> </w:t>
      </w:r>
      <w:r>
        <w:t xml:space="preserve">Se ensayó la demostración con guion escrito. El panel se conectó al servidor real y, al hacerlo, se detectó que la prueba de comprobación escrita para Tania estaba mal y que su configuración local estaba incompleta. Ambos problemas se corrigieron el mismo día; faltaba ver el panel conectado en un navegador.</w:t>
      </w:r>
    </w:p>
    <w:p>
      <w:pPr>
        <w:pStyle w:val="BodyText"/>
      </w:pPr>
      <w:r>
        <w:rPr>
          <w:b/>
          <w:bCs/>
        </w:rPr>
        <w:t xml:space="preserve">Viernes 21-08.</w:t>
      </w:r>
      <w:r>
        <w:t xml:space="preserve"> </w:t>
      </w:r>
      <w:r>
        <w:t xml:space="preserve">Hito de demostración con el cliente: treinta minutos del flujo del dinero de la solicitud al cierre por código. Tania declaró que la resolución de solicitudes y el ingreso real del panel no alcanzaban en esta ventana; las dos historias se arrastraron con su parte del servidor ya lista desde el miércoles.</w:t>
      </w:r>
    </w:p>
    <w:p>
      <w:pPr>
        <w:pStyle w:val="BodyText"/>
      </w:pPr>
      <w:r>
        <w:rPr>
          <w:b/>
          <w:bCs/>
        </w:rPr>
        <w:t xml:space="preserve">22 al 29-08.</w:t>
      </w:r>
      <w:r>
        <w:t xml:space="preserve"> </w:t>
      </w:r>
      <w:r>
        <w:t xml:space="preserve">Se revisó el trabajo del panel y se aplicaron correcciones vistas en navegador. En la misma semana el flujo de solicitud terminó de definirse con el cliente —publicación con multioferta— con validación de la asesora legal; no hubo código. El 29 se integró el trabajo del panel y se redactaron el acta y la retrospectiva. El Sprint 4 perdió así su semana de ejecución y se replanificó al fin de semana.</w:t>
      </w:r>
    </w:p>
    <w:p>
      <w:pPr>
        <w:pStyle w:val="BodyText"/>
      </w:pPr>
      <w:r>
        <w:t xml:space="preserve">La sincronización diaria de la vía del servidor no quedó registrada el martes, el miércoles ni el jueves; el avance de esos días se reconstruyó desde el tablero y los cambios integrados.</w:t>
      </w:r>
    </w:p>
    <w:bookmarkEnd w:id="22"/>
    <w:bookmarkStart w:id="23" w:name="revisión-del-sprint"/>
    <w:p>
      <w:pPr>
        <w:pStyle w:val="Heading1"/>
      </w:pPr>
      <w:r>
        <w:t xml:space="preserve">5. Revisión del sprint</w:t>
      </w:r>
    </w:p>
    <w:p>
      <w:pPr>
        <w:pStyle w:val="FirstParagraph"/>
      </w:pPr>
      <w:r>
        <w:t xml:space="preserve">El incremento se presentó al cliente el viernes 21 de agosto, en una demostración de treinta minutos que era el hito comprometido: una solicitud, su asignación manual desde el panel, la cotización del maestro, la aceptación del cliente, el cobro en custodia contra el doble de prueba y el cierre con el código de tres dígitos. Todo lo comprometido por el servidor se mostró funcionando; el ingreso real y la resolución de solicitudes en el panel no alcanzaron y se declararon en la misma revisión. En esa sesión se escaló también una dependencia externa: las cuentas de desarrollador de las tiendas de aplicaciones no pueden tramitarse hasta que la empresa del cliente esté constituida, lo que condiciona el hito de fin de agosto de tener la app instalable. El 29 de agosto, tras la definición final del flujo, el cliente estuvo de acuerdo en actualizar el alcance acordado.</w:t>
      </w:r>
    </w:p>
    <w:p>
      <w:pPr>
        <w:pStyle w:val="BodyText"/>
      </w:pPr>
      <w:r>
        <w:t xml:space="preserve">Al sprint siguiente pasaron, en el panel, la resolución de solicitudes con motivo obligatorio y el ingreso real; las correcciones finas (distinguir un rechazo del servidor de una caída, avisar cuando el servidor simulado está encendido y documentar los ajustes de configuración); y las pantallas que el flujo definitivo agrega, cuando el contrato las publique. En el servidor pasaron el resto del módulo de pagos (cargo adicional en custodia, validación de llegada y conciliación con varios cargos), el motor de difusión del flujo definitivo (publicación con multioferta) con el contrato que la app necesitará, y la búsqueda de texto libre del lado del servidor para las bandejas.</w:t>
      </w:r>
    </w:p>
    <w:bookmarkEnd w:id="23"/>
    <w:bookmarkStart w:id="24" w:name="retrospectiva"/>
    <w:p>
      <w:pPr>
        <w:pStyle w:val="Heading1"/>
      </w:pPr>
      <w:r>
        <w:t xml:space="preserve">6. Retrospectiva</w:t>
      </w:r>
    </w:p>
    <w:p>
      <w:pPr>
        <w:pStyle w:val="FirstParagraph"/>
      </w:pPr>
      <w:r>
        <w:rPr>
          <w:b/>
          <w:bCs/>
        </w:rPr>
        <w:t xml:space="preserve">Lo que funcionó.</w:t>
      </w:r>
      <w:r>
        <w:t xml:space="preserve"> </w:t>
      </w:r>
      <w:r>
        <w:t xml:space="preserve">El compromiso del servidor se cumplió el miércoles, con margen para ensayar la demostración; la demostración existía como prueba automática antes de ensayarse. El hito de demostración se hizo con el cliente presente y el flujo completo funcionó sin sorpresas. La deuda técnica del límite de intentos quedó saldada dentro del sprint, como estaba comprometido desde el Sprint 1. Y el diseño defensivo pagó de nuevo: la definición final del flujo del 26 de agosto no botó una línea de lo construido, porque las ofertas nunca fueron sub-estados y el motor automático nunca se construyó.</w:t>
      </w:r>
    </w:p>
    <w:p>
      <w:pPr>
        <w:pStyle w:val="BodyText"/>
      </w:pPr>
      <w:r>
        <w:rPr>
          <w:b/>
          <w:bCs/>
        </w:rPr>
        <w:t xml:space="preserve">Lo que nos costó.</w:t>
      </w:r>
      <w:r>
        <w:t xml:space="preserve"> </w:t>
      </w:r>
      <w:r>
        <w:t xml:space="preserve">La vía del panel cerró parcial y ocho días después de la ventana; las dos historias no alcanzaron y se dio por hecho un avance sin comprobarlo contra los cambios integrados. El acta y la retrospectiva se redactaron el 29 de agosto, ocho días tarde: el cierre de las ceremonias no estaba en la definición de terminado y se notó.</w:t>
      </w:r>
    </w:p>
    <w:p>
      <w:pPr>
        <w:pStyle w:val="BodyText"/>
      </w:pPr>
      <w:r>
        <w:t xml:space="preserve">La semana siguiente no ejecutó código: la absorbieron la definición final del flujo, el informe de alcance y los términos y condiciones. Era trabajo necesario, pero el plan no tenía holgura y hubo que replanificar al fin de semana. El entorno del panel consumió dos días: la base de datos se instaló el lunes y el panel recién habló con el servidor real el jueves, así que los hallazgos de integración llegaron todos juntos al final. Además, la sincronización diaria de la vía del servidor quedó sin registrar tres días, en el sprint más cargado.</w:t>
      </w:r>
    </w:p>
    <w:p>
      <w:pPr>
        <w:pStyle w:val="BodyText"/>
      </w:pPr>
      <w:r>
        <w:rPr>
          <w:b/>
          <w:bCs/>
        </w:rPr>
        <w:t xml:space="preserve">Acciones de mejora</w:t>
      </w:r>
    </w:p>
    <w:p>
      <w:pPr>
        <w:pStyle w:val="Compact"/>
        <w:numPr>
          <w:ilvl w:val="0"/>
          <w:numId w:val="1001"/>
        </w:numPr>
      </w:pPr>
      <w:r>
        <w:t xml:space="preserve">Mauricio incorpora el cierre de las ceremonias a la definición de terminado, de modo que acta y retrospectiva se redacten el mismo día de la revisión; se verifica con el acta y la retrospectiva del Sprint 4 con la fecha del día de su revisión.</w:t>
      </w:r>
    </w:p>
    <w:p>
      <w:pPr>
        <w:pStyle w:val="Compact"/>
        <w:numPr>
          <w:ilvl w:val="0"/>
          <w:numId w:val="1001"/>
        </w:numPr>
      </w:pPr>
      <w:r>
        <w:t xml:space="preserve">Ambos evitan que un trabajo del compromiso quede en revisión al cierre de la ventana sin declararse en la revisión con fecha de cierre; se verifica con el tablero del Sprint 4 con la columna</w:t>
      </w:r>
      <w:r>
        <w:t xml:space="preserve"> </w:t>
      </w:r>
      <w:r>
        <w:t xml:space="preserve">“en revisión”</w:t>
      </w:r>
      <w:r>
        <w:t xml:space="preserve"> </w:t>
      </w:r>
      <w:r>
        <w:t xml:space="preserve">vacía al cierre.</w:t>
      </w:r>
    </w:p>
    <w:p>
      <w:pPr>
        <w:pStyle w:val="Compact"/>
        <w:numPr>
          <w:ilvl w:val="0"/>
          <w:numId w:val="1001"/>
        </w:numPr>
      </w:pPr>
      <w:r>
        <w:t xml:space="preserve">Mauricio replanifica el mismo lunes, no el viernes, toda semana que se dedique a definición o gestión en lugar de ejecución; se verifica con la nota de replanificación con fecha del lunes correspondiente.</w:t>
      </w:r>
    </w:p>
    <w:p>
      <w:pPr>
        <w:pStyle w:val="Compact"/>
        <w:numPr>
          <w:ilvl w:val="0"/>
          <w:numId w:val="1001"/>
        </w:numPr>
      </w:pPr>
      <w:r>
        <w:t xml:space="preserve">Ambos hacen viajar la bitácora en cada cambio, en las dos vías, y un cambio sin bitácora no se revisa hasta que la traiga; se verifica con cada cambio del Sprint 4 con la bitácora actualizada.</w:t>
      </w:r>
    </w:p>
    <w:p>
      <w:pPr>
        <w:pStyle w:val="FirstParagraph"/>
      </w:pPr>
      <w:r>
        <w:rPr>
          <w:b/>
          <w:bCs/>
        </w:rPr>
        <w:t xml:space="preserve">Seguimiento de las acciones del sprint anterior.</w:t>
      </w:r>
      <w:r>
        <w:t xml:space="preserve"> </w:t>
      </w:r>
      <w:r>
        <w:t xml:space="preserve">De las seis acciones del Sprint 2, el equipo evaluó tres y las dio por cumplidas: las correcciones del panel se comprobaron en navegador, el tablero tuvo una entrada por día con sus acuerdos (aunque la vía del servidor dejó tres días en blanco) y la demostración se ensayó con guion antes del viernes. Las otras tres —revisión con el cliente, no duplicar números y mantener los documentos rectores al día— se cumplieron de hecho según el acta, pero no se evaluaron formalmente.</w:t>
      </w:r>
    </w:p>
    <w:bookmarkEnd w:id="24"/>
    <w:sectPr w:rsidR="00FC693F" w:rsidRPr="0006063C" w:rsidSect="00034616">
      <w:headerReference r:id="rId9" w:type="default"/>
      <w:footerReference r:id="rId10" w:type="default"/>
      <w:pgSz w:h="16838" w:w="11906"/>
      <w:pgMar w:bottom="1020" w:footer="720" w:gutter="0" w:header="720" w:left="1134" w:right="1134"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Página </w:t>
    </w: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RELWO · Portafolio de Título (PTY4614) · Duoc UC Plaza Norte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64" w:lineRule="auto"/>
    </w:pPr>
    <w:rPr>
      <w:rFonts w:ascii="Calibri" w:eastAsia="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outlineLvl w:val="0"/>
    </w:pPr>
    <w:rPr>
      <w:rFonts w:ascii="Calibri" w:hAnsi="Calibri"/>
      <w:b/>
      <w:bCs/>
      <w:color w:val="1F3864"/>
      <w:sz w:val="36"/>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Calibri" w:hAnsi="Calibri"/>
      <w:b/>
      <w:bCs/>
      <w:color w:val="1F3864"/>
      <w:sz w:val="28"/>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Calibri" w:hAnsi="Calibri"/>
      <w:b/>
      <w:bCs/>
      <w:color w:val="2E75B6"/>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Calibri" w:hAnsi="Calibri"/>
      <w:b/>
      <w:bCs/>
      <w:i/>
      <w:iCs/>
      <w:color w:val="2E75B6"/>
      <w:sz w:val="22"/>
    </w:rPr>
  </w:style>
  <w:style w:styleId="Heading5" w:type="paragraph">
    <w:name w:val="heading 5"/>
    <w:basedOn w:val="Normal"/>
    <w:next w:val="Normal"/>
    <w:link w:val="Heading5Char"/>
    <w:uiPriority w:val="9"/>
    <w:semiHidden/>
    <w:unhideWhenUsed/>
    <w:qFormat/>
    <w:rsid w:val="00FC693F"/>
    <w:pPr>
      <w:keepNext/>
      <w:keepLines/>
      <w:spacing w:after="80" w:before="160"/>
      <w:outlineLvl w:val="4"/>
    </w:pPr>
    <w:rPr>
      <w:rFonts w:ascii="Calibri" w:hAnsi="Calibri"/>
      <w:b/>
      <w:color w:val="595959"/>
      <w:sz w:val="21"/>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Table" w:type="table">
    <w:name w:val="Table"/>
    <w:basedOn w:val="TableNormal"/>
    <w:uiPriority w:val="59"/>
    <w:rPr>
      <w:sz w:val="18"/>
      <w:szCs w:val="18"/>
    </w:rPr>
    <w:tblPr>
      <w:tblStyleRowBandSize w:val="1"/>
      <w:tblW w:type="auto" w:w="0"/>
      <w:tblBorders>
        <w:top w:color="9AA3B5" w:space="0" w:sz="4" w:val="single"/>
        <w:left w:color="9AA3B5" w:space="0" w:sz="4" w:val="single"/>
        <w:bottom w:color="9AA3B5" w:space="0" w:sz="4" w:val="single"/>
        <w:right w:color="9AA3B5" w:space="0" w:sz="4" w:val="single"/>
        <w:insideH w:color="9AA3B5" w:space="0" w:sz="4" w:val="single"/>
        <w:insideV w:color="9AA3B5" w:space="0" w:sz="4" w:val="single"/>
      </w:tblBorders>
      <w:tblCellMar>
        <w:top w:type="dxa" w:w="40"/>
        <w:left w:type="dxa" w:w="80"/>
        <w:bottom w:type="dxa" w:w="40"/>
        <w:right w:type="dxa" w:w="80"/>
      </w:tblCellMar>
    </w:tblPr>
    <w:tblStylePr w:type="firstRow">
      <w:rPr>
        <w:b/>
      </w:rPr>
      <w:tcPr>
        <w:shd w:color="auto" w:fill="E8ECF5"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2026-10-19T18:43:29Z</dcterms:created>
  <dcterms:modified xsi:type="dcterms:W3CDTF">2026-10-19T18:43:29Z</dcterms:modified>
</cp:coreProperties>
</file>

<file path=docProps/custom.xml><?xml version="1.0" encoding="utf-8"?>
<Properties xmlns="http://schemas.openxmlformats.org/officeDocument/2006/custom-properties" xmlns:vt="http://schemas.openxmlformats.org/officeDocument/2006/docPropsVTypes"/>
</file>