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Sprint 5 — Dejar atrás el andamiaje</w:t>
      </w:r>
    </w:p>
    <w:p>
      <w:pPr>
        <w:pStyle w:val="BodyText"/>
      </w:pPr>
      <w:r>
        <w:t xml:space="preserve">Ficha de sprint: planificación, seguimiento, revisión y retrospectiva</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9 de septiembre de 2026</w:t>
      </w:r>
    </w:p>
    <w:p>
      <w:pPr>
        <w:pStyle w:val="BodyText"/>
      </w:pPr>
      <w:r>
        <w:rPr>
          <w:b/>
          <w:bCs/>
        </w:rPr>
        <w:t xml:space="preserve">Ventana:</w:t>
      </w:r>
      <w:r>
        <w:t xml:space="preserve"> </w:t>
      </w:r>
      <w:r>
        <w:t xml:space="preserve">Jueves 3 al viernes 11 de septiembre de 2026 (planificación el jueves 3)</w:t>
      </w:r>
    </w:p>
    <w:p>
      <w:pPr>
        <w:pStyle w:val="BodyText"/>
      </w:pPr>
      <w:r>
        <w:rPr>
          <w:b/>
          <w:bCs/>
        </w:rPr>
        <w:t xml:space="preserve">Cierre efectivo:</w:t>
      </w:r>
      <w:r>
        <w:t xml:space="preserve"> </w:t>
      </w:r>
      <w:r>
        <w:t xml:space="preserve">Miércoles 9 de septiembre de 2026, dos días antes de lo previsto</w:t>
      </w:r>
    </w:p>
    <w:p>
      <w:pPr>
        <w:pStyle w:val="BodyText"/>
      </w:pPr>
      <w:r>
        <w:rPr>
          <w:b/>
          <w:bCs/>
        </w:rPr>
        <w:t xml:space="preserve">Estado:</w:t>
      </w:r>
      <w:r>
        <w:t xml:space="preserve"> </w:t>
      </w:r>
      <w:r>
        <w:t xml:space="preserve">Sprint cerrado</w:t>
      </w:r>
    </w:p>
    <w:p>
      <w:r>
        <w:br w:type="page"/>
      </w:r>
    </w:p>
    <w:bookmarkStart w:id="19" w:name="objetivo-del-sprint"/>
    <w:p>
      <w:pPr>
        <w:pStyle w:val="Heading1"/>
      </w:pPr>
      <w:r>
        <w:t xml:space="preserve">1. Objetivo del sprint</w:t>
      </w:r>
    </w:p>
    <w:p>
      <w:pPr>
        <w:pStyle w:val="FirstParagraph"/>
      </w:pPr>
      <w:r>
        <w:t xml:space="preserve">Nos propusimos</w:t>
      </w:r>
      <w:r>
        <w:t xml:space="preserve"> </w:t>
      </w:r>
      <w:r>
        <w:rPr>
          <w:b/>
          <w:bCs/>
        </w:rPr>
        <w:t xml:space="preserve">que las dos vías de trabajo dejaran de apoyarse en andamiaje</w:t>
      </w:r>
      <w:r>
        <w:t xml:space="preserve">. Hasta el Sprint 4, el panel de administración (la torre de control) entraba con una sesión simulada y mostraba solicitudes de registro que no se podían resolver de verdad; el servidor aún seguía el orden del flujo antiguo, en el que se cobraba antes de confirmar el servicio. En este sprint el panel debía entrar con credenciales reales, resolver una solicitud contra el servidor y tener su primera pantalla de configuración; el servidor debía dejar en la base de datos el nuevo orden de estados del flujo definitivo (versión 2.0), aplicar el cobro único en custodia, publicar lo que el panel necesitaba y actualizar la documentación rectora con las decisiones que el cliente entregó el 3 de septiembre.</w:t>
      </w:r>
    </w:p>
    <w:bookmarkEnd w:id="19"/>
    <w:bookmarkStart w:id="20" w:name="planificación-y-compromiso"/>
    <w:p>
      <w:pPr>
        <w:pStyle w:val="Heading1"/>
      </w:pPr>
      <w:r>
        <w:t xml:space="preserve">2. Planificación y compromiso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Comprometido</w:t>
            </w:r>
          </w:p>
        </w:tc>
        <w:tc>
          <w:tcPr/>
          <w:p>
            <w:pPr>
              <w:pStyle w:val="Compact"/>
            </w:pPr>
            <w:r>
              <w:t xml:space="preserve">Entregado</w:t>
            </w:r>
          </w:p>
        </w:tc>
        <w:tc>
          <w:tcPr/>
          <w:p>
            <w:pPr>
              <w:pStyle w:val="Compact"/>
            </w:pPr>
            <w:r>
              <w:t xml:space="preserve">Reserva</w:t>
            </w:r>
          </w:p>
        </w:tc>
      </w:tr>
      <w:tr>
        <w:tc>
          <w:tcPr/>
          <w:p>
            <w:pPr>
              <w:pStyle w:val="Compact"/>
            </w:pPr>
            <w:r>
              <w:t xml:space="preserve">Mauricio Poblete</w:t>
            </w:r>
          </w:p>
        </w:tc>
        <w:tc>
          <w:tcPr/>
          <w:p>
            <w:pPr>
              <w:pStyle w:val="Compact"/>
            </w:pPr>
            <w:r>
              <w:t xml:space="preserve">38 (inicial 32)</w:t>
            </w:r>
          </w:p>
        </w:tc>
        <w:tc>
          <w:tcPr/>
          <w:p>
            <w:pPr>
              <w:pStyle w:val="Compact"/>
            </w:pPr>
            <w:r>
              <w:t xml:space="preserve">38</w:t>
            </w:r>
          </w:p>
        </w:tc>
        <w:tc>
          <w:tcPr/>
          <w:p>
            <w:pPr>
              <w:pStyle w:val="Compact"/>
            </w:pPr>
            <w:r>
              <w:t xml:space="preserve">76</w:t>
            </w:r>
          </w:p>
        </w:tc>
      </w:tr>
      <w:tr>
        <w:tc>
          <w:tcPr/>
          <w:p>
            <w:pPr>
              <w:pStyle w:val="Compact"/>
            </w:pPr>
            <w:r>
              <w:t xml:space="preserve">Tania Sáez</w:t>
            </w:r>
          </w:p>
        </w:tc>
        <w:tc>
          <w:tcPr/>
          <w:p>
            <w:pPr>
              <w:pStyle w:val="Compact"/>
            </w:pPr>
            <w:r>
              <w:t xml:space="preserve">27 (inicial 24)</w:t>
            </w:r>
          </w:p>
        </w:tc>
        <w:tc>
          <w:tcPr/>
          <w:p>
            <w:pPr>
              <w:pStyle w:val="Compact"/>
            </w:pPr>
            <w:r>
              <w:t xml:space="preserve">27</w:t>
            </w:r>
          </w:p>
        </w:tc>
        <w:tc>
          <w:tcPr/>
          <w:p>
            <w:pPr>
              <w:pStyle w:val="Compact"/>
            </w:pPr>
            <w:r>
              <w:t xml:space="preserve">4</w:t>
            </w:r>
          </w:p>
        </w:tc>
      </w:tr>
      <w:tr>
        <w:tc>
          <w:tcPr/>
          <w:p>
            <w:pPr>
              <w:pStyle w:val="Compact"/>
            </w:pPr>
            <w:r>
              <w:t xml:space="preserve">Nayareth Suárez</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Total</w:t>
            </w:r>
          </w:p>
        </w:tc>
        <w:tc>
          <w:tcPr/>
          <w:p>
            <w:pPr>
              <w:pStyle w:val="Compact"/>
            </w:pPr>
            <w:r>
              <w:t xml:space="preserve">65</w:t>
            </w:r>
          </w:p>
        </w:tc>
        <w:tc>
          <w:tcPr/>
          <w:p>
            <w:pPr>
              <w:pStyle w:val="Compact"/>
            </w:pPr>
            <w:r>
              <w:t xml:space="preserve">65</w:t>
            </w:r>
          </w:p>
        </w:tc>
        <w:tc>
          <w:tcPr/>
          <w:p>
            <w:pPr>
              <w:pStyle w:val="Compact"/>
            </w:pPr>
            <w:r>
              <w:t xml:space="preserve">80</w:t>
            </w:r>
          </w:p>
        </w:tc>
      </w:tr>
    </w:tbl>
    <w:p>
      <w:pPr>
        <w:pStyle w:val="BodyText"/>
      </w:pPr>
      <w:r>
        <w:t xml:space="preserve">En total se movieron 145 puntos en la ventana. Mauricio Poblete, en servidor, app y nube, completó su compromiso el sábado 05-09; el resto fue reserva: la app contra el servidor real, las ofertas y la nube. Tania Sáez, en el panel de administración, tuvo dos días sin avance visible (05 al 07-09), y dos tareas pequeñas de reserva quedaron sin hacer. Nayareth Suárez no tuvo tareas registradas en este sprint; su aporte se concentró en las evidencias académicas y el seguimiento documental.</w:t>
      </w:r>
    </w:p>
    <w:p>
      <w:pPr>
        <w:pStyle w:val="BodyText"/>
      </w:pPr>
      <w:r>
        <w:t xml:space="preserve">Comprometimos esto porque el panel arrastraba desde el Sprint 3 el inicio de sesión real y la resolución de solicitudes de registro, y la planificación partió, como pedía la retrospectiva anterior, por dimensionar esa acumulación completa: 72 puntos, de los que solo 22 eran construibles con lo que el servidor ya publicaba. En el servidor, el flujo definitivo había invalidado el orden de estados y el cobro por etapas, así que primero fue lo que desbloqueaba al panel, con fecha interna del lunes 7; después lo que el flujo nuevo invalidó; al final, la documentación.</w:t>
      </w:r>
    </w:p>
    <w:p>
      <w:pPr>
        <w:pStyle w:val="BodyText"/>
      </w:pPr>
      <w:r>
        <w:t xml:space="preserve">Dejamos fuera a propósito las pantallas del panel sin contrato del servidor (42 puntos: publicaciones en vivo, servicios en terreno, cotizaciones, incumplimientos, referencia de precio, precios y comisiones), la mensajería interna y la cámara, el GPS y las tipografías reales de la app, todo para el Sprint 6. Dos tareas del plan original se declararon superadas por el cobro único.</w:t>
      </w:r>
    </w:p>
    <w:p>
      <w:pPr>
        <w:pStyle w:val="BodyText"/>
      </w:pPr>
      <w:r>
        <w:t xml:space="preserve">El compromiso cambió dos veces. El 04-09 el servidor sumó la creación de cuenta pública y de cuentas administradoras (de 32 a 38). El 05-09 Tania Sáez confirmó la estimación de tres unidades propuestas y el panel pasó de 24 a 27. Entre el 05 y el 07-09 se agregaron a la reserva del servidor, con fecha declarada, la conexión de la app al servidor real, las ofertas y el entorno en la nube.</w:t>
      </w:r>
    </w:p>
    <w:bookmarkEnd w:id="20"/>
    <w:bookmarkStart w:id="21" w:name="qué-construimos"/>
    <w:p>
      <w:pPr>
        <w:pStyle w:val="Heading1"/>
      </w:pPr>
      <w:r>
        <w:t xml:space="preserve">3. Qué construimos</w:t>
      </w:r>
    </w:p>
    <w:p>
      <w:pPr>
        <w:pStyle w:val="FirstParagraph"/>
      </w:pPr>
      <w:r>
        <w:rPr>
          <w:b/>
          <w:bCs/>
        </w:rPr>
        <w:t xml:space="preserve">Panel de administración.</w:t>
      </w:r>
      <w:r>
        <w:t xml:space="preserve"> </w:t>
      </w:r>
      <w:r>
        <w:t xml:space="preserve">Se entra a la torre de control con correo y contraseña reales y «Cerrar sesión» cierra la sesión de verdad; la sesión simulada desapareció. Una solicitud de registro de un maestro se aprueba o se rechaza en dos pasos; el rechazo exige motivo y la bandeja se actualiza sin recargar. Un rechazo del servidor ya no se ve igual que una caída: sesión vencida vuelve al acceso, falta de permiso muestra un aviso propio y una caída ofrece reintentar. La torre activa y desactiva comunas y oficios y administra los doce parámetros de operación; la aprobación automática arranca apagada y en producción no se puede encender. La búsqueda de la bandeja la hace el servidor por nombre, correo y teléfono sin distinguir acentos, y las etiquetas de estado cumplen el contraste de accesibilidad en claro y oscuro.</w:t>
      </w:r>
    </w:p>
    <w:p>
      <w:pPr>
        <w:pStyle w:val="BodyText"/>
      </w:pPr>
      <w:r>
        <w:rPr>
          <w:b/>
          <w:bCs/>
        </w:rPr>
        <w:t xml:space="preserve">Servidor y nube.</w:t>
      </w:r>
      <w:r>
        <w:t xml:space="preserve"> </w:t>
      </w:r>
      <w:r>
        <w:t xml:space="preserve">Un servicio se confirma antes de cobrar y el cobro en custodia ocurre una sola vez, al aceptar el monto cotizado en terreno; elegir una oferta no cobra. El maestro oferta, simula y retira su oferta sobre una solicitud publicada; el cliente elige una; la publicación se cierra por plazo y se vuelve a publicar sola si nadie fue elegido. Las cancelaciones quedan registradas según quién cancela, con cargo de visita cuando corresponde. El servidor quedó desplegado en la nube, con tareas programadas en marcha y la dirección del panel conectada; la documentación rectora describe el flujo definitivo con las decisiones del cliente del 03-09.</w:t>
      </w:r>
    </w:p>
    <w:p>
      <w:pPr>
        <w:pStyle w:val="BodyText"/>
      </w:pPr>
      <w:r>
        <w:rPr>
          <w:b/>
          <w:bCs/>
        </w:rPr>
        <w:t xml:space="preserve">Aplicación móvil.</w:t>
      </w:r>
      <w:r>
        <w:t xml:space="preserve"> </w:t>
      </w:r>
      <w:r>
        <w:t xml:space="preserve">La app dejó los datos simulados: cuenta, verificación de canal, hogares, catálogo, publicación de una solicitud y bandeja del maestro hablan con el servidor real en la nube. Las ofertas son reales: el maestro oferta con dos cifras y ve su desglose; el cliente ve las ofertas y elige sin pagar.</w:t>
      </w:r>
    </w:p>
    <w:bookmarkEnd w:id="21"/>
    <w:bookmarkStart w:id="22" w:name="seguimiento-del-sprint"/>
    <w:p>
      <w:pPr>
        <w:pStyle w:val="Heading1"/>
      </w:pPr>
      <w:r>
        <w:t xml:space="preserve">4. Seguimiento del sprint</w:t>
      </w:r>
    </w:p>
    <w:p>
      <w:pPr>
        <w:pStyle w:val="FirstParagraph"/>
      </w:pPr>
      <w:r>
        <w:rPr>
          <w:b/>
          <w:bCs/>
        </w:rPr>
        <w:t xml:space="preserve">Miércoles 02-09.</w:t>
      </w:r>
      <w:r>
        <w:t xml:space="preserve"> </w:t>
      </w:r>
      <w:r>
        <w:t xml:space="preserve">Al probar el inicio de sesión real contra el servidor, las cuentas de prueba no tenían rol: se abría sesión y todo lo demás respondía «sin permiso». El contrato tampoco declaraba cómo viaja la credencial. Se rodeó con un ajuste manual en la base local; la corrección pasó al servidor y entró el 04-09.</w:t>
      </w:r>
    </w:p>
    <w:p>
      <w:pPr>
        <w:pStyle w:val="BodyText"/>
      </w:pPr>
      <w:r>
        <w:rPr>
          <w:b/>
          <w:bCs/>
        </w:rPr>
        <w:t xml:space="preserve">Jueves 03-09.</w:t>
      </w:r>
      <w:r>
        <w:t xml:space="preserve"> </w:t>
      </w:r>
      <w:r>
        <w:t xml:space="preserve">Planificación. El cliente respondió las consultas del flujo definitivo: nueve cambios aprobados, tope inicial de la tarifa de visita y restablecimiento de contraseña en el alcance. La asesora legal pidió avanzar y revisar después. La actualización documental se hizo ese día sin inventar nada.</w:t>
      </w:r>
    </w:p>
    <w:p>
      <w:pPr>
        <w:pStyle w:val="BodyText"/>
      </w:pPr>
      <w:r>
        <w:rPr>
          <w:b/>
          <w:bCs/>
        </w:rPr>
        <w:t xml:space="preserve">Viernes 04-09.</w:t>
      </w:r>
      <w:r>
        <w:t xml:space="preserve"> </w:t>
      </w:r>
      <w:r>
        <w:t xml:space="preserve">El contrato de comunas, oficios y parámetros para el rol administrador entró tres días antes de la fecha interna del lunes 7. Las pantallas de configuración del panel dejaron de estar condicionadas y el compromiso del servidor subió a 38.</w:t>
      </w:r>
    </w:p>
    <w:p>
      <w:pPr>
        <w:pStyle w:val="BodyText"/>
      </w:pPr>
      <w:r>
        <w:rPr>
          <w:b/>
          <w:bCs/>
        </w:rPr>
        <w:t xml:space="preserve">Sábado 05-09.</w:t>
      </w:r>
      <w:r>
        <w:t xml:space="preserve"> </w:t>
      </w:r>
      <w:r>
        <w:t xml:space="preserve">El compromiso del servidor quedó completo (38 de 38), seis días antes del cierre, y el resto del sprint fue reserva. Tania Sáez cerró dos decisiones de diseño: la paleta de la app se mantiene y el botón de disputa entra como excepción al botón único. El compromiso del panel subió a 27.</w:t>
      </w:r>
    </w:p>
    <w:p>
      <w:pPr>
        <w:pStyle w:val="BodyText"/>
      </w:pPr>
      <w:r>
        <w:rPr>
          <w:b/>
          <w:bCs/>
        </w:rPr>
        <w:t xml:space="preserve">05 al 07-09.</w:t>
      </w:r>
      <w:r>
        <w:t xml:space="preserve"> </w:t>
      </w:r>
      <w:r>
        <w:t xml:space="preserve">La app se conectó al servidor real y a las ofertas; el servidor quedó en la nube el 06-09 y el primer despliegue automático se ejecutó el 07-09. El panel estuvo dos días sin avance visible con 17 puntos por delante. Se registró como bloqueo y se resolvió el 07-09 con tres unidades terminadas en una noche.</w:t>
      </w:r>
    </w:p>
    <w:p>
      <w:pPr>
        <w:pStyle w:val="BodyText"/>
      </w:pPr>
      <w:r>
        <w:rPr>
          <w:b/>
          <w:bCs/>
        </w:rPr>
        <w:t xml:space="preserve">Martes 08-09.</w:t>
      </w:r>
      <w:r>
        <w:t xml:space="preserve"> </w:t>
      </w:r>
      <w:r>
        <w:t xml:space="preserve">Las tres unidades del panel se revisaron con la torre levantada en un navegador y apareció una regresión visual que ninguna prueba automática veía (etiquetas de filtros verdes y con borde). Se corrigió el mismo día, y desde entonces ningún cambio del panel se revisa a ciegas. La revisión visual formal encontró cinco defectos más, invisibles para las pruebas. Ese mismo día se decidió dónde se publica la torre de control y se conectó su dirección; el primer despliegue del panel quedó para el arranque del Sprint 6.</w:t>
      </w:r>
    </w:p>
    <w:p>
      <w:pPr>
        <w:pStyle w:val="BodyText"/>
      </w:pPr>
      <w:r>
        <w:rPr>
          <w:b/>
          <w:bCs/>
        </w:rPr>
        <w:t xml:space="preserve">Miércoles 09-09.</w:t>
      </w:r>
      <w:r>
        <w:t xml:space="preserve"> </w:t>
      </w:r>
      <w:r>
        <w:t xml:space="preserve">Revisión con el cliente, retrospectiva y planificación del Sprint 6 el mismo día. Se pidió partir dos componentes en vez de subir el límite de tamaño de los estilos. El sprint cerró dos días antes de la ventana, y la revisión visual formal se integró al arrancar el Sprint 6.</w:t>
      </w:r>
    </w:p>
    <w:bookmarkEnd w:id="22"/>
    <w:bookmarkStart w:id="23" w:name="revisión-del-sprint"/>
    <w:p>
      <w:pPr>
        <w:pStyle w:val="Heading1"/>
      </w:pPr>
      <w:r>
        <w:t xml:space="preserve">5. Revisión del sprint</w:t>
      </w:r>
    </w:p>
    <w:p>
      <w:pPr>
        <w:pStyle w:val="FirstParagraph"/>
      </w:pPr>
      <w:r>
        <w:t xml:space="preserve">El incremento se presentó al cliente el miércoles 9 de septiembre, dos días antes del fin de la ventana, porque todo lo comprometido ya estaba integrado. Se mostró la app instalada en un teléfono y conectada al servidor en la nube; la torre de control entrando con credenciales reales, resolviendo una solicitud de registro y administrando comunas, oficios y parámetros; el ciclo de publicación corriendo solo; y la dirección del panel conectada. Se presentaron juntos los incrementos de los sprints 4 y 5; no hubo observaciones que cambiaran el plan y el hito de demostración al cliente del martes 15 se mantuvo en fecha, con ensayo el lunes 14.</w:t>
      </w:r>
    </w:p>
    <w:p>
      <w:pPr>
        <w:pStyle w:val="BodyText"/>
      </w:pPr>
      <w:r>
        <w:t xml:space="preserve">Los cuatro enunciados del objetivo se cumplieron. No entraron dos tareas pequeñas de la reserva del panel, con contrato listo pero sin tiempo: la asignación manual de un maestro a un servicio (3 puntos) y la creación de cuentas administradoras (2 puntos). Tampoco alcanzaron el primer despliegue del panel ni la cuenta administradora de Tania Sáez en la nube, condiciones del ensayo del lunes 14. En el servidor quedaron el restablecimiento de contraseña, los proveedores reales de mensajería y la pasarela de pago, que condicionan la salida a producción.</w:t>
      </w:r>
    </w:p>
    <w:p>
      <w:pPr>
        <w:pStyle w:val="BodyText"/>
      </w:pPr>
      <w:r>
        <w:t xml:space="preserve">Al Sprint 6 pasa, en el servidor, el contrato para las pantallas del panel que esperan (publicaciones, servicios en terreno, cotizaciones, referencia de precio, incumplimientos, precios y comisiones), el restablecimiento de contraseña y los proveedores reales de correo y mensajería, y el cobro en custodia contra el entorno de pruebas de la pasarela junto con los avisos push, ambos condicionados a la evaluación comercial de la pasarela. En el panel pasan la asignación manual y la creación de cuentas administradoras, a cargo de Tania Sáez. En la nube, el primer despliegue del panel, el almacenamiento de fotografías y la distribución de la app a testers. Y en la app, la cámara, el GPS, las tipografías reales y el registro de cuenta.</w:t>
      </w:r>
    </w:p>
    <w:bookmarkEnd w:id="23"/>
    <w:bookmarkStart w:id="24" w:name="retrospectiva"/>
    <w:p>
      <w:pPr>
        <w:pStyle w:val="Heading1"/>
      </w:pPr>
      <w:r>
        <w:t xml:space="preserve">6. Retrospectiva</w:t>
      </w:r>
    </w:p>
    <w:p>
      <w:pPr>
        <w:pStyle w:val="FirstParagraph"/>
      </w:pPr>
      <w:r>
        <w:rPr>
          <w:b/>
          <w:bCs/>
        </w:rPr>
        <w:t xml:space="preserve">Lo que funcionó.</w:t>
      </w:r>
      <w:r>
        <w:t xml:space="preserve"> </w:t>
      </w:r>
      <w:r>
        <w:t xml:space="preserve">El compromiso de las dos vías se cumplió entero, y el del servidor a dos días de planificarse; desde ahí se avanzó sobre reserva declarada, no sobre alcance improvisado. El contrato que el panel necesitaba llegó antes de la fecha prevista, y el bloqueo se cerró antes de molestar. Revisar el panel con la torre levantada en un navegador encontró defectos que cerca de doscientas pruebas automáticas no veían; la regla de «mirar la pantalla» ahora también aplica a quien revisa.</w:t>
      </w:r>
    </w:p>
    <w:p>
      <w:pPr>
        <w:pStyle w:val="BodyText"/>
      </w:pPr>
      <w:r>
        <w:t xml:space="preserve">La app habla con el servidor real y corre contra la nube: la demostración al cliente se hace con software que vive fuera de una máquina de desarrollo. Los cambios pequeños, uno por unidad, permitieron revisar unidad por unidad y resolver los ajustes el mismo día; el cliente vio el incremento antes del cierre y quedó conforme.</w:t>
      </w:r>
    </w:p>
    <w:p>
      <w:pPr>
        <w:pStyle w:val="BodyText"/>
      </w:pPr>
      <w:r>
        <w:rPr>
          <w:b/>
          <w:bCs/>
        </w:rPr>
        <w:t xml:space="preserve">Lo que nos costó.</w:t>
      </w:r>
      <w:r>
        <w:t xml:space="preserve"> </w:t>
      </w:r>
      <w:r>
        <w:t xml:space="preserve">El panel estuvo dos días sin avance visible y luego entregó tres unidades juntas; el trabajo apilado en silencio se revisa tarde y de golpe, y ahí se coló la regresión visual. La acción anterior que pedía registrar la lectura de cada acta dentro de la semana no se cumplió: el acta del Sprint 4 seguía sin leerse doce días después.</w:t>
      </w:r>
    </w:p>
    <w:p>
      <w:pPr>
        <w:pStyle w:val="BodyText"/>
      </w:pPr>
      <w:r>
        <w:t xml:space="preserve">Los documentos compartidos chocan cuando las dos vías avanzan el mismo día: el 08-09 hubo que resolver a mano cuatro conflictos de versión. Las actualizaciones documentales en cadena exigieron revisión línea a línea; dos veces hubo que corregir reglas colgadas donde no correspondían. Hubo además un atajo: se subió el límite de tamaño de los estilos en vez de partir los componentes que lo excedían, y se corrigió en la revisión. Y apareció una prueba automática intermitente sin causa conocida.</w:t>
      </w:r>
    </w:p>
    <w:p>
      <w:pPr>
        <w:pStyle w:val="BodyText"/>
      </w:pPr>
      <w:r>
        <w:rPr>
          <w:b/>
          <w:bCs/>
        </w:rPr>
        <w:t xml:space="preserve">Acciones de mejora</w:t>
      </w:r>
    </w:p>
    <w:p>
      <w:pPr>
        <w:pStyle w:val="Compact"/>
        <w:numPr>
          <w:ilvl w:val="0"/>
          <w:numId w:val="1001"/>
        </w:numPr>
      </w:pPr>
      <w:r>
        <w:t xml:space="preserve">Mauricio Poblete (Scrum Master) deja escrita la aceptación del cliente en el acta el mismo día de la revisión, con fecha y observaciones, o la agenda dentro de la misma semana si el cliente no puede ese día; se verifica con actas siguientes con la aceptación fechada y sin «pendiente».</w:t>
      </w:r>
    </w:p>
    <w:p>
      <w:pPr>
        <w:pStyle w:val="Compact"/>
        <w:numPr>
          <w:ilvl w:val="0"/>
          <w:numId w:val="1001"/>
        </w:numPr>
      </w:pPr>
      <w:r>
        <w:t xml:space="preserve">Tania Sáez y Mauricio Poblete evitan acumular cambios en silencio: la fila diaria del tablero dice qué hay en curso y cada unidad terminada se envía a revisión de inmediato; se verifica con el tablero del Sprint 6 con una fila por vía y por día hábil, sin días con más de un cambio nuevo por vía.</w:t>
      </w:r>
    </w:p>
    <w:p>
      <w:pPr>
        <w:pStyle w:val="Compact"/>
        <w:numPr>
          <w:ilvl w:val="0"/>
          <w:numId w:val="1001"/>
        </w:numPr>
      </w:pPr>
      <w:r>
        <w:t xml:space="preserve">Mauricio Poblete (revisión) y Tania Sáez (convenciones) hacen toda revisión de un cambio del panel con la torre levantada en un navegador, y quien lo envía declara qué probó a ojo; se verifica con las convenciones del panel con el punto incorporado y cada comentario de revisión diciendo qué se miró.</w:t>
      </w:r>
    </w:p>
    <w:p>
      <w:pPr>
        <w:pStyle w:val="Compact"/>
        <w:numPr>
          <w:ilvl w:val="0"/>
          <w:numId w:val="1001"/>
        </w:numPr>
      </w:pPr>
      <w:r>
        <w:t xml:space="preserve">Mauricio Poblete y Tania Sáez reparten dentro del día las versiones de los documentos compartidos por vía: quien abre el segundo cambio toma el número siguiente y lo declara; se verifica con ningún conflicto de versión en las integraciones del Sprint 6, o resuelto dentro del mismo cambio.</w:t>
      </w:r>
    </w:p>
    <w:p>
      <w:pPr>
        <w:pStyle w:val="Compact"/>
        <w:numPr>
          <w:ilvl w:val="0"/>
          <w:numId w:val="1001"/>
        </w:numPr>
      </w:pPr>
      <w:r>
        <w:t xml:space="preserve">Mauricio Poblete (Scrum Master) cierra cada retrospectiva sin acciones «por completar»: lo que no se completa en la lectura conjunta se borra o recibe dueño y fecha; se verifica con esta retrospectiva y las siguientes cerradas sin huecos.</w:t>
      </w:r>
    </w:p>
    <w:p>
      <w:pPr>
        <w:pStyle w:val="Compact"/>
        <w:numPr>
          <w:ilvl w:val="0"/>
          <w:numId w:val="1001"/>
        </w:numPr>
      </w:pPr>
      <w:r>
        <w:t xml:space="preserve">Mauricio Poblete caza o aísla la prueba intermitente corriendo la suite completa tres veces seguidas al arrancar el Sprint 6 e investigando si vuelve a fallar; se verifica con la bitácora del Sprint 6 con el resultado de las tres ejecuciones.</w:t>
      </w:r>
    </w:p>
    <w:p>
      <w:pPr>
        <w:pStyle w:val="FirstParagraph"/>
      </w:pPr>
      <w:r>
        <w:rPr>
          <w:b/>
          <w:bCs/>
        </w:rPr>
        <w:t xml:space="preserve">Seguimiento de las acciones del sprint anterior.</w:t>
      </w:r>
      <w:r>
        <w:t xml:space="preserve"> </w:t>
      </w:r>
      <w:r>
        <w:t xml:space="preserve">Dimensionar la acumulación del panel antes de planificar se cumplió: la planificación partió por la lista completa por frente. Que ningún sprint deje una vía sin compromiso declarado también se cumplió, porque el backlog tiene una sección por vía. Las decisiones de sistema visual las confirmó Tania Sáez antes de construir encima, el 05-09. Medir aparte el costo de reemplazar cada doble de la app se cumplió en parte: se reemplazaron sin medición separada, así que la velocidad de la app no es comparable entre sprints. Registrar la lectura de cada acta dentro de la semana no se cumplió, y dio origen a la acción de cerrar cada retrospectiva sin huecos.</w:t>
      </w:r>
    </w:p>
    <w:bookmarkEnd w:id="24"/>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2026-10-19T18:43:30Z</dcterms:created>
  <dcterms:modified xsi:type="dcterms:W3CDTF">2026-10-19T18:43:30Z</dcterms:modified>
</cp:coreProperties>
</file>

<file path=docProps/custom.xml><?xml version="1.0" encoding="utf-8"?>
<Properties xmlns="http://schemas.openxmlformats.org/officeDocument/2006/custom-properties" xmlns:vt="http://schemas.openxmlformats.org/officeDocument/2006/docPropsVTypes"/>
</file>