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7 — Disputas, instrumentación y licencia de oficio</w:t>
      </w:r>
    </w:p>
    <w:p>
      <w:pPr>
        <w:pStyle w:val="BodyText"/>
      </w:pPr>
      <w:r>
        <w:t xml:space="preserve">Ficha de sprint: planificación, seguimiento, revisión y retrospectiva</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15 de octubre de 2026</w:t>
      </w:r>
    </w:p>
    <w:p>
      <w:pPr>
        <w:pStyle w:val="BodyText"/>
      </w:pPr>
      <w:r>
        <w:rPr>
          <w:b/>
          <w:bCs/>
        </w:rPr>
        <w:t xml:space="preserve">Ventana:</w:t>
      </w:r>
      <w:r>
        <w:t xml:space="preserve"> </w:t>
      </w:r>
      <w:r>
        <w:t xml:space="preserve">30-09 al 16-10-2026</w:t>
      </w:r>
    </w:p>
    <w:p>
      <w:pPr>
        <w:pStyle w:val="BodyText"/>
      </w:pPr>
      <w:r>
        <w:rPr>
          <w:b/>
          <w:bCs/>
        </w:rPr>
        <w:t xml:space="preserve">Cierre efectivo:</w:t>
      </w:r>
      <w:r>
        <w:t xml:space="preserve"> </w:t>
      </w:r>
      <w:r>
        <w:t xml:space="preserve">Jueves 15-10-2026, un día antes de la ventana</w:t>
      </w:r>
    </w:p>
    <w:p>
      <w:pPr>
        <w:pStyle w:val="BodyText"/>
      </w:pPr>
      <w:r>
        <w:rPr>
          <w:b/>
          <w:bCs/>
        </w:rPr>
        <w:t xml:space="preserve">Estado:</w:t>
      </w:r>
      <w:r>
        <w:t xml:space="preserve"> </w:t>
      </w:r>
      <w:r>
        <w:t xml:space="preserve">Sprint cerrado; incremento presentado al cliente el 16-10-2026</w:t>
      </w:r>
    </w:p>
    <w:p>
      <w:r>
        <w:br w:type="page"/>
      </w:r>
    </w:p>
    <w:bookmarkStart w:id="19" w:name="contenido"/>
    <w:p>
      <w:pPr>
        <w:pStyle w:val="Heading1"/>
      </w:pPr>
      <w:r>
        <w:t xml:space="preserve">Contenido</w:t>
      </w:r>
    </w:p>
    <w:p>
      <w:pPr>
        <w:pStyle w:val="Compact"/>
        <w:numPr>
          <w:ilvl w:val="0"/>
          <w:numId w:val="1001"/>
        </w:numPr>
      </w:pPr>
    </w:p>
    <w:p>
      <w:pPr>
        <w:pStyle w:val="Compact"/>
        <w:numPr>
          <w:ilvl w:val="1"/>
          <w:numId w:val="1002"/>
        </w:numPr>
      </w:pPr>
      <w:r>
        <w:t xml:space="preserve">Objetivo del sprint</w:t>
      </w:r>
    </w:p>
    <w:p>
      <w:pPr>
        <w:pStyle w:val="Compact"/>
        <w:numPr>
          <w:ilvl w:val="0"/>
          <w:numId w:val="1001"/>
        </w:numPr>
      </w:pPr>
      <w:r>
        <w:t xml:space="preserve">2. Planificación y compromiso</w:t>
      </w:r>
    </w:p>
    <w:p>
      <w:pPr>
        <w:pStyle w:val="Compact"/>
        <w:numPr>
          <w:ilvl w:val="0"/>
          <w:numId w:val="1001"/>
        </w:numPr>
      </w:pPr>
      <w:r>
        <w:t xml:space="preserve">3. Qué construimos</w:t>
      </w:r>
    </w:p>
    <w:p>
      <w:pPr>
        <w:pStyle w:val="Compact"/>
        <w:numPr>
          <w:ilvl w:val="0"/>
          <w:numId w:val="1001"/>
        </w:numPr>
      </w:pPr>
      <w:r>
        <w:t xml:space="preserve">4. Seguimiento del sprint</w:t>
      </w:r>
    </w:p>
    <w:p>
      <w:pPr>
        <w:pStyle w:val="Compact"/>
        <w:numPr>
          <w:ilvl w:val="0"/>
          <w:numId w:val="1001"/>
        </w:numPr>
      </w:pPr>
      <w:r>
        <w:t xml:space="preserve">5. Dependencias externas</w:t>
      </w:r>
    </w:p>
    <w:p>
      <w:pPr>
        <w:pStyle w:val="Compact"/>
        <w:numPr>
          <w:ilvl w:val="0"/>
          <w:numId w:val="1001"/>
        </w:numPr>
      </w:pPr>
      <w:r>
        <w:t xml:space="preserve">6. Revisión del sprint</w:t>
      </w:r>
    </w:p>
    <w:p>
      <w:pPr>
        <w:pStyle w:val="Compact"/>
        <w:numPr>
          <w:ilvl w:val="0"/>
          <w:numId w:val="1001"/>
        </w:numPr>
      </w:pPr>
      <w:r>
        <w:t xml:space="preserve">7. Retrospectiva</w:t>
      </w:r>
    </w:p>
    <w:p>
      <w:r>
        <w:br w:type="page"/>
      </w:r>
    </w:p>
    <w:bookmarkEnd w:id="19"/>
    <w:bookmarkStart w:id="20" w:name="objetivo-del-sprint"/>
    <w:p>
      <w:pPr>
        <w:pStyle w:val="Heading1"/>
      </w:pPr>
      <w:r>
        <w:t xml:space="preserve">1. Objetivo del sprint</w:t>
      </w:r>
    </w:p>
    <w:p>
      <w:pPr>
        <w:pStyle w:val="FirstParagraph"/>
      </w:pPr>
      <w:r>
        <w:t xml:space="preserve">Cerrar las dos brechas de aceptación que seguían sin código —las disputas y la instrumentación de los seis eventos de uso— y validar la licencia de oficio de la Superintendencia de Electricidad y Combustibles (SEC) del maestro desde nuestro servidor.</w:t>
      </w:r>
    </w:p>
    <w:p>
      <w:pPr>
        <w:pStyle w:val="BodyText"/>
      </w:pPr>
      <w:r>
        <w:t xml:space="preserve">Las dos brechas venían del alcance acordado: que «Tuve un problema» genere un caso gestionable en la torre de control, que la torre tenga un tablero con métricas básicas y que los eventos de uso queden registrados y exportables. La instrumentación era además la brecha pendiente del segundo hito de demostración al cliente (15-09): este sprint fue su plan correctivo. La tercera parte nació el día de la planificación (miércoles 30-09, un día después del cierre del Sprint 6): tras estudiar el registro público de la SEC, se decidió validar la licencia por RUT desde el servidor, sin que el maestro suba documentos. La ventana llegaba hasta el viernes 16-10.</w:t>
      </w:r>
    </w:p>
    <w:bookmarkEnd w:id="20"/>
    <w:bookmarkStart w:id="21" w:name="planificación-y-compromiso"/>
    <w:p>
      <w:pPr>
        <w:pStyle w:val="Heading1"/>
      </w:pPr>
      <w:r>
        <w:t xml:space="preserve">2. Planificación y compromiso</w:t>
      </w:r>
    </w:p>
    <w:p>
      <w:pPr>
        <w:pStyle w:val="FirstParagraph"/>
      </w:pPr>
      <w:r>
        <w:t xml:space="preserve">El compromiso lo fijó el Scrum Master el 30-09 y cada integrante confirmó sus puntos al integrar su primer cambio. El total se movió tres veces:</w:t>
      </w:r>
      <w:r>
        <w:t xml:space="preserve"> </w:t>
      </w:r>
      <w:r>
        <w:rPr>
          <w:b/>
          <w:bCs/>
        </w:rPr>
        <w:t xml:space="preserve">64 puntos</w:t>
      </w:r>
      <w:r>
        <w:t xml:space="preserve"> </w:t>
      </w:r>
      <w:r>
        <w:t xml:space="preserve">en la mañana del 30-09;</w:t>
      </w:r>
      <w:r>
        <w:t xml:space="preserve"> </w:t>
      </w:r>
      <w:r>
        <w:rPr>
          <w:b/>
          <w:bCs/>
        </w:rPr>
        <w:t xml:space="preserve">69</w:t>
      </w:r>
      <w:r>
        <w:t xml:space="preserve"> </w:t>
      </w:r>
      <w:r>
        <w:t xml:space="preserve">desde la tarde, cuando las decisiones de producto sumaron la retención y liberación manual de un pago desde la torre (servidor y panel); y</w:t>
      </w:r>
      <w:r>
        <w:t xml:space="preserve"> </w:t>
      </w:r>
      <w:r>
        <w:rPr>
          <w:b/>
          <w:bCs/>
        </w:rPr>
        <w:t xml:space="preserve">71</w:t>
      </w:r>
      <w:r>
        <w:t xml:space="preserve"> </w:t>
      </w:r>
      <w:r>
        <w:t xml:space="preserve">desde el 01-10, cuando se definió que la vista de métricas sería un tablero gráfico, lo que amplió en 2 puntos la consulta de eventos del servidor.</w:t>
      </w:r>
    </w:p>
    <w:p>
      <w:pPr>
        <w:pStyle w:val="BodyText"/>
      </w:pPr>
      <w:r>
        <w:t xml:space="preserve">Después cambió quién hacía qué, no el total. El</w:t>
      </w:r>
      <w:r>
        <w:t xml:space="preserve"> </w:t>
      </w:r>
      <w:r>
        <w:rPr>
          <w:b/>
          <w:bCs/>
        </w:rPr>
        <w:t xml:space="preserve">05-10</w:t>
      </w:r>
      <w:r>
        <w:t xml:space="preserve"> </w:t>
      </w:r>
      <w:r>
        <w:t xml:space="preserve">Nayareth Suárez se incorporó al desarrollo y tomó completo el tablero de métricas (servidor y panel), que estaba en la vía del panel: Tania bajó de 23 a 15 puntos y nació la vía de métricas con 8. El</w:t>
      </w:r>
      <w:r>
        <w:t xml:space="preserve"> </w:t>
      </w:r>
      <w:r>
        <w:rPr>
          <w:b/>
          <w:bCs/>
        </w:rPr>
        <w:t xml:space="preserve">10-10</w:t>
      </w:r>
      <w:r>
        <w:t xml:space="preserve">, con el tablero terminado y una semana libre antes del cierre, pasaron a Nayareth dos unidades más de Tania —la forma de los parámetros nuevos de configuración (1) y los arreglos menores pendientes del Sprint 6 (2)— para que Tania se concentrara en la bandeja de disputas. El panel quedó en 12 y métricas en 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Comprometido</w:t>
            </w:r>
          </w:p>
        </w:tc>
        <w:tc>
          <w:tcPr/>
          <w:p>
            <w:pPr>
              <w:pStyle w:val="Compact"/>
            </w:pPr>
            <w:r>
              <w:t xml:space="preserve">Entregado</w:t>
            </w:r>
          </w:p>
        </w:tc>
        <w:tc>
          <w:tcPr/>
          <w:p>
            <w:pPr>
              <w:pStyle w:val="Compact"/>
            </w:pPr>
            <w:r>
              <w:t xml:space="preserve">Reserva</w:t>
            </w:r>
          </w:p>
        </w:tc>
      </w:tr>
      <w:tr>
        <w:tc>
          <w:tcPr/>
          <w:p>
            <w:pPr>
              <w:pStyle w:val="Compact"/>
            </w:pPr>
            <w:r>
              <w:t xml:space="preserve">Mauricio Poblete (servidor y app)</w:t>
            </w:r>
          </w:p>
        </w:tc>
        <w:tc>
          <w:tcPr/>
          <w:p>
            <w:pPr>
              <w:pStyle w:val="Compact"/>
            </w:pPr>
            <w:r>
              <w:t xml:space="preserve">48</w:t>
            </w:r>
          </w:p>
        </w:tc>
        <w:tc>
          <w:tcPr/>
          <w:p>
            <w:pPr>
              <w:pStyle w:val="Compact"/>
            </w:pPr>
            <w:r>
              <w:t xml:space="preserve">48</w:t>
            </w:r>
          </w:p>
        </w:tc>
        <w:tc>
          <w:tcPr/>
          <w:p>
            <w:pPr>
              <w:pStyle w:val="Compact"/>
            </w:pPr>
            <w:r>
              <w:t xml:space="preserve">8</w:t>
            </w:r>
          </w:p>
        </w:tc>
      </w:tr>
      <w:tr>
        <w:tc>
          <w:tcPr/>
          <w:p>
            <w:pPr>
              <w:pStyle w:val="Compact"/>
            </w:pPr>
            <w:r>
              <w:t xml:space="preserve">Tania Sáez (panel y diseño)</w:t>
            </w:r>
          </w:p>
        </w:tc>
        <w:tc>
          <w:tcPr/>
          <w:p>
            <w:pPr>
              <w:pStyle w:val="Compact"/>
            </w:pPr>
            <w:r>
              <w:t xml:space="preserve">12</w:t>
            </w:r>
          </w:p>
        </w:tc>
        <w:tc>
          <w:tcPr/>
          <w:p>
            <w:pPr>
              <w:pStyle w:val="Compact"/>
            </w:pPr>
            <w:r>
              <w:t xml:space="preserve">12</w:t>
            </w:r>
          </w:p>
        </w:tc>
        <w:tc>
          <w:tcPr/>
          <w:p>
            <w:pPr>
              <w:pStyle w:val="Compact"/>
            </w:pPr>
            <w:r>
              <w:t xml:space="preserve">—</w:t>
            </w:r>
          </w:p>
        </w:tc>
      </w:tr>
      <w:tr>
        <w:tc>
          <w:tcPr/>
          <w:p>
            <w:pPr>
              <w:pStyle w:val="Compact"/>
            </w:pPr>
            <w:r>
              <w:t xml:space="preserve">Nayareth Suárez (métricas)</w:t>
            </w:r>
          </w:p>
        </w:tc>
        <w:tc>
          <w:tcPr/>
          <w:p>
            <w:pPr>
              <w:pStyle w:val="Compact"/>
            </w:pPr>
            <w:r>
              <w:t xml:space="preserve">11</w:t>
            </w:r>
          </w:p>
        </w:tc>
        <w:tc>
          <w:tcPr/>
          <w:p>
            <w:pPr>
              <w:pStyle w:val="Compact"/>
            </w:pPr>
            <w:r>
              <w:t xml:space="preserve">11</w:t>
            </w:r>
          </w:p>
        </w:tc>
        <w:tc>
          <w:tcPr/>
          <w:p>
            <w:pPr>
              <w:pStyle w:val="Compact"/>
            </w:pPr>
            <w:r>
              <w:t xml:space="preserve">3</w:t>
            </w:r>
          </w:p>
        </w:tc>
      </w:tr>
      <w:tr>
        <w:tc>
          <w:tcPr/>
          <w:p>
            <w:pPr>
              <w:pStyle w:val="Compact"/>
            </w:pPr>
            <w:r>
              <w:t xml:space="preserve">Total</w:t>
            </w:r>
          </w:p>
        </w:tc>
        <w:tc>
          <w:tcPr/>
          <w:p>
            <w:pPr>
              <w:pStyle w:val="Compact"/>
            </w:pPr>
            <w:r>
              <w:t xml:space="preserve">71</w:t>
            </w:r>
          </w:p>
        </w:tc>
        <w:tc>
          <w:tcPr/>
          <w:p>
            <w:pPr>
              <w:pStyle w:val="Compact"/>
            </w:pPr>
            <w:r>
              <w:t xml:space="preserve">71</w:t>
            </w:r>
          </w:p>
        </w:tc>
        <w:tc>
          <w:tcPr/>
          <w:p>
            <w:pPr>
              <w:pStyle w:val="Compact"/>
            </w:pPr>
            <w:r>
              <w:t xml:space="preserve">11</w:t>
            </w:r>
          </w:p>
        </w:tc>
      </w:tr>
    </w:tbl>
    <w:p>
      <w:pPr>
        <w:pStyle w:val="BodyText"/>
      </w:pPr>
      <w:r>
        <w:t xml:space="preserve">Los 48 puntos de Mauricio Poblete se repartieron en 41 del servidor y 7 de la app; el servidor terminó el 02-10 y la app el 03-10, y después vinieron la revisión de las otras vías y correcciones sin puntos. Su reserva de 8 fue el mapa del maestro en camino. Tania Sáez tenía 23 puntos el 30-09 y 15 desde el 05-10, hasta quedar en 12: administración de cuentas y bandeja de disputas; sin puntos, hizo la revisión del diseño de la app y la ronda visual del panel. Nayareth Suárez tenía 8 desde el 05-10 y 11 desde el 10-10; fue su primer sprint en desarrollo, con nueve cambios integrados, y su reserva de 3 fue la geometría de las 40 comunas. Al total se suma el trabajo sin puntos de la sección 3.</w:t>
      </w:r>
    </w:p>
    <w:p>
      <w:pPr>
        <w:pStyle w:val="BodyText"/>
      </w:pPr>
      <w:r>
        <w:t xml:space="preserve">La reserva (mapa 8, geometría 3, canal de teléfono 3) quedó fuera de los 71 desde el inicio; el canal de teléfono no se construyó.</w:t>
      </w:r>
    </w:p>
    <w:bookmarkEnd w:id="21"/>
    <w:bookmarkStart w:id="22" w:name="qué-construimos"/>
    <w:p>
      <w:pPr>
        <w:pStyle w:val="Heading1"/>
      </w:pPr>
      <w:r>
        <w:t xml:space="preserve">3. Qué construimos</w:t>
      </w:r>
    </w:p>
    <w:p>
      <w:pPr>
        <w:pStyle w:val="FirstParagraph"/>
      </w:pPr>
      <w:r>
        <w:rPr>
          <w:b/>
          <w:bCs/>
        </w:rPr>
        <w:t xml:space="preserve">Panel (torre de control).</w:t>
      </w:r>
      <w:r>
        <w:t xml:space="preserve"> </w:t>
      </w:r>
      <w:r>
        <w:t xml:space="preserve">La bandeja de disputas muestra cada caso con categoría, descripción, evidencia y plazo visible; se asigna a una persona y se resuelve en dos pasos (liberar el pago, reembolso total o parcial) con el resumen congelado. La torre puede retener o liberar a mano el cobro de un servicio, con motivo y auditoría, y tiene un módulo nuevo de auditoría con filtro por persona. Se hizo una ronda visual completa: el panel usable en ancho de teléfono, una referencia corta y única para cada cosa que la torre nombra (la misma que ve el cliente en la app) y contrastes medidos en claro y oscuro.</w:t>
      </w:r>
    </w:p>
    <w:p>
      <w:pPr>
        <w:pStyle w:val="BodyText"/>
      </w:pPr>
      <w:r>
        <w:rPr>
          <w:b/>
          <w:bCs/>
        </w:rPr>
        <w:t xml:space="preserve">Servidor y nube.</w:t>
      </w:r>
      <w:r>
        <w:t xml:space="preserve"> </w:t>
      </w:r>
      <w:r>
        <w:t xml:space="preserve">Los seis eventos de uso se registran junto con el hecho que describen, se consultan con filtros, se exportan a CSV y se resumen en cifras y series por periodo. La disputa quedó completa: el cliente la abre con evidencia, el pago queda retenido mientras dure, la torre la asigna y resuelve, el maestro responde y las partes reciben avisos; categorías y plazos son datos configurables. La licencia de la SEC se valida por RUT desde el servidor, con reverificación cada 30 días y revisión manual cuando la lectura no se reconoce.</w:t>
      </w:r>
    </w:p>
    <w:p>
      <w:pPr>
        <w:pStyle w:val="BodyText"/>
      </w:pPr>
      <w:r>
        <w:rPr>
          <w:b/>
          <w:bCs/>
        </w:rPr>
        <w:t xml:space="preserve">Aplicación móvil.</w:t>
      </w:r>
      <w:r>
        <w:t xml:space="preserve"> </w:t>
      </w:r>
      <w:r>
        <w:t xml:space="preserve">«Tuve un problema» abre la pantalla de disputa y la pestaña «En disputa»; el maestro tiene su vista para responder. Las tarjetas del cliente muestran monto, maestro y calificación; el mapa del maestro en camino pasó a rutas por calles con hora de llegada como rango (reserva). Una revisión guiada del flujo de solicitud produjo 35 hallazgos corregidos.</w:t>
      </w:r>
    </w:p>
    <w:p>
      <w:pPr>
        <w:pStyle w:val="BodyText"/>
      </w:pPr>
      <w:r>
        <w:rPr>
          <w:b/>
          <w:bCs/>
        </w:rPr>
        <w:t xml:space="preserve">Métricas.</w:t>
      </w:r>
      <w:r>
        <w:t xml:space="preserve"> </w:t>
      </w:r>
      <w:r>
        <w:t xml:space="preserve">Hay un tablero gráfico para la parte comercial: tarjetas con las cifras clave, barras y tortas por comuna y oficio, y evolución de los seis eventos. La consulta de eventos muestra nombre y correo de la persona, enlace al servicio y detalle en palabras, más la exportación a CSV.</w:t>
      </w:r>
    </w:p>
    <w:bookmarkEnd w:id="22"/>
    <w:bookmarkStart w:id="23" w:name="seguimiento-del-sprint"/>
    <w:p>
      <w:pPr>
        <w:pStyle w:val="Heading1"/>
      </w:pPr>
      <w:r>
        <w:t xml:space="preserve">4. Seguimiento del sprint</w:t>
      </w:r>
    </w:p>
    <w:p>
      <w:pPr>
        <w:pStyle w:val="FirstParagraph"/>
      </w:pPr>
      <w:r>
        <w:rPr>
          <w:b/>
          <w:bCs/>
        </w:rPr>
        <w:t xml:space="preserve">Miércoles 30-09.</w:t>
      </w:r>
      <w:r>
        <w:t xml:space="preserve"> </w:t>
      </w:r>
      <w:r>
        <w:t xml:space="preserve">Planificación; esa tarde se tomaron doce decisiones de producto y se pidió respuesta a las tres dependencias externas para el 09-10. El sprint partió sin preguntas abiertas, con 69 puntos.</w:t>
      </w:r>
    </w:p>
    <w:p>
      <w:pPr>
        <w:pStyle w:val="BodyText"/>
      </w:pPr>
      <w:r>
        <w:rPr>
          <w:b/>
          <w:bCs/>
        </w:rPr>
        <w:t xml:space="preserve">Jueves 01-10.</w:t>
      </w:r>
      <w:r>
        <w:t xml:space="preserve"> </w:t>
      </w:r>
      <w:r>
        <w:t xml:space="preserve">Se integraron en el servidor la instrumentación, la disputa y la licencia de la SEC. La brecha del segundo hito quedó cerrada, el panel recibió sus contratos antes de necesitarlos y el compromiso quedó en 71.</w:t>
      </w:r>
    </w:p>
    <w:p>
      <w:pPr>
        <w:pStyle w:val="BodyText"/>
      </w:pPr>
      <w:r>
        <w:rPr>
          <w:b/>
          <w:bCs/>
        </w:rPr>
        <w:t xml:space="preserve">Viernes 02 y sábado 03-10.</w:t>
      </w:r>
      <w:r>
        <w:t xml:space="preserve"> </w:t>
      </w:r>
      <w:r>
        <w:t xml:space="preserve">El servidor cerró su compromiso (41 de 41) y la app el suyo (7 de 7): 48 de 71 a los cuatro días.</w:t>
      </w:r>
    </w:p>
    <w:p>
      <w:pPr>
        <w:pStyle w:val="BodyText"/>
      </w:pPr>
      <w:r>
        <w:rPr>
          <w:b/>
          <w:bCs/>
        </w:rPr>
        <w:t xml:space="preserve">Lunes 05 y miércoles 07-10.</w:t>
      </w:r>
      <w:r>
        <w:t xml:space="preserve"> </w:t>
      </w:r>
      <w:r>
        <w:t xml:space="preserve">Nayareth se incorporó con el tablero de métricas y nació la vía de métricas. Se repartió la app a los probadores. Desde el 07-10 una sola vía escribe la documentación de seguimiento, lo que terminó con los conflictos de bitácora del Sprint 6.</w:t>
      </w:r>
    </w:p>
    <w:p>
      <w:pPr>
        <w:pStyle w:val="BodyText"/>
      </w:pPr>
      <w:r>
        <w:rPr>
          <w:b/>
          <w:bCs/>
        </w:rPr>
        <w:t xml:space="preserve">Viernes 09-10.</w:t>
      </w:r>
      <w:r>
        <w:t xml:space="preserve"> </w:t>
      </w:r>
      <w:r>
        <w:t xml:space="preserve">Se integró el tablero de métricas (8 puntos) y quedó lista la geometría de comunas: 58 de 71. Al revisarlo en pantalla aparecieron dos hallazgos urgentes; el primero (datos ilegibles en «Eventos») se resolvió el 10-10.</w:t>
      </w:r>
    </w:p>
    <w:p>
      <w:pPr>
        <w:pStyle w:val="BodyText"/>
      </w:pPr>
      <w:r>
        <w:rPr>
          <w:b/>
          <w:bCs/>
        </w:rPr>
        <w:t xml:space="preserve">Sábado 10-10.</w:t>
      </w:r>
      <w:r>
        <w:t xml:space="preserve"> </w:t>
      </w:r>
      <w:r>
        <w:t xml:space="preserve">Se traspasaron dos unidades de Tania a Nayareth, integradas ese mismo día: 61 de 71. Tania quedó dedicada a la bandeja de disputas.</w:t>
      </w:r>
    </w:p>
    <w:p>
      <w:pPr>
        <w:pStyle w:val="BodyText"/>
      </w:pPr>
      <w:r>
        <w:rPr>
          <w:b/>
          <w:bCs/>
        </w:rPr>
        <w:t xml:space="preserve">Martes 13-10.</w:t>
      </w:r>
      <w:r>
        <w:t xml:space="preserve"> </w:t>
      </w:r>
      <w:r>
        <w:t xml:space="preserve">Se integró la bandeja de disputas (10 puntos). Al probarla se descubrió que el simulador de pagos perdía los cobros al reiniciar, y se corrigió ese día. El compromiso quedó en</w:t>
      </w:r>
      <w:r>
        <w:t xml:space="preserve"> </w:t>
      </w:r>
      <w:r>
        <w:rPr>
          <w:b/>
          <w:bCs/>
        </w:rPr>
        <w:t xml:space="preserve">71 de 71</w:t>
      </w:r>
      <w:r>
        <w:t xml:space="preserve">, tres días antes de la ventana.</w:t>
      </w:r>
    </w:p>
    <w:p>
      <w:pPr>
        <w:pStyle w:val="BodyText"/>
      </w:pPr>
      <w:r>
        <w:rPr>
          <w:b/>
          <w:bCs/>
        </w:rPr>
        <w:t xml:space="preserve">Miércoles 14-10.</w:t>
      </w:r>
      <w:r>
        <w:t xml:space="preserve"> </w:t>
      </w:r>
      <w:r>
        <w:t xml:space="preserve">Se integraron once cambios encadenados en una jornada y se planificó el Sprint 8. La revisión de una sola persona volvió a ser el cuello de botella.</w:t>
      </w:r>
    </w:p>
    <w:p>
      <w:pPr>
        <w:pStyle w:val="BodyText"/>
      </w:pPr>
      <w:r>
        <w:rPr>
          <w:b/>
          <w:bCs/>
        </w:rPr>
        <w:t xml:space="preserve">Jueves 15-10.</w:t>
      </w:r>
      <w:r>
        <w:t xml:space="preserve"> </w:t>
      </w:r>
      <w:r>
        <w:t xml:space="preserve">La prueba de extremo a extremo del «maestro en camino» con dos teléfonos dio nueve problemas, corregidos antes de cerrar. El cierre fue el 15-10, un día antes de la ventana y un día después de lo previsto.</w:t>
      </w:r>
    </w:p>
    <w:p>
      <w:pPr>
        <w:pStyle w:val="BodyText"/>
      </w:pPr>
      <w:r>
        <w:t xml:space="preserve">Al cierre se habían integrado</w:t>
      </w:r>
      <w:r>
        <w:t xml:space="preserve"> </w:t>
      </w:r>
      <w:r>
        <w:rPr>
          <w:b/>
          <w:bCs/>
        </w:rPr>
        <w:t xml:space="preserve">58 cambios</w:t>
      </w:r>
      <w:r>
        <w:t xml:space="preserve"> </w:t>
      </w:r>
      <w:r>
        <w:t xml:space="preserve">revisados; las pruebas automáticas pasaron de cerca de 2.600 a cerca de 4.800.</w:t>
      </w:r>
    </w:p>
    <w:bookmarkEnd w:id="23"/>
    <w:bookmarkStart w:id="24" w:name="dependencias-externas"/>
    <w:p>
      <w:pPr>
        <w:pStyle w:val="Heading1"/>
      </w:pPr>
      <w:r>
        <w:t xml:space="preserve">5. Dependencias externas</w:t>
      </w:r>
    </w:p>
    <w:p>
      <w:pPr>
        <w:pStyle w:val="FirstParagraph"/>
      </w:pPr>
      <w:r>
        <w:t xml:space="preserve">Las tres primeras se pidieron con fecha (09-10) desde la planificación y estaban fuera del compromiso, así que su silencio no afectó el avance.</w:t>
      </w:r>
    </w:p>
    <w:p>
      <w:pPr>
        <w:pStyle w:val="BodyText"/>
      </w:pPr>
      <w:r>
        <w:rPr>
          <w:b/>
          <w:bCs/>
        </w:rPr>
        <w:t xml:space="preserve">Pasarela de pago.</w:t>
      </w:r>
      <w:r>
        <w:t xml:space="preserve"> </w:t>
      </w:r>
      <w:r>
        <w:t xml:space="preserve">Esperábamos de la parte comercial la evaluación comercial de la pasarela de pago. Sin ella, el cobro real en custodia y el ambiente productivo siguen fuera, y el flujo se prueba con un simulador. Pasó al Sprint 9 de contingencia (02 al 13-11).</w:t>
      </w:r>
    </w:p>
    <w:p>
      <w:pPr>
        <w:pStyle w:val="BodyText"/>
      </w:pPr>
      <w:r>
        <w:rPr>
          <w:b/>
          <w:bCs/>
        </w:rPr>
        <w:t xml:space="preserve">Verificación de identidad.</w:t>
      </w:r>
      <w:r>
        <w:t xml:space="preserve"> </w:t>
      </w:r>
      <w:r>
        <w:t xml:space="preserve">También de la parte comercial esperábamos la contratación del proveedor de verificación de identidad. Mientras no llegue, la verificación de identidad y antecedentes del maestro sigue siendo manual. Pasó al Sprint 9 de contingencia.</w:t>
      </w:r>
    </w:p>
    <w:p>
      <w:pPr>
        <w:pStyle w:val="BodyText"/>
      </w:pPr>
      <w:r>
        <w:rPr>
          <w:b/>
          <w:bCs/>
        </w:rPr>
        <w:t xml:space="preserve">Protección de datos.</w:t>
      </w:r>
      <w:r>
        <w:t xml:space="preserve"> </w:t>
      </w:r>
      <w:r>
        <w:t xml:space="preserve">De la asesora legal esperábamos el pronunciamiento sobre protección de datos personales (Ley 21.719). De él dependen el filtro de datos de contacto en fotos, los términos y consentimientos, la descarga y eliminación de datos y la imagen de la cédula. Pasó al Sprint 9 de contingencia.</w:t>
      </w:r>
    </w:p>
    <w:p>
      <w:pPr>
        <w:pStyle w:val="BodyText"/>
      </w:pPr>
      <w:r>
        <w:rPr>
          <w:b/>
          <w:bCs/>
        </w:rPr>
        <w:t xml:space="preserve">Fecha de aceptación.</w:t>
      </w:r>
      <w:r>
        <w:t xml:space="preserve"> </w:t>
      </w:r>
      <w:r>
        <w:t xml:space="preserve">Del cliente, como Product Owner, esperábamos la fecha de la revisión de aceptación del MVP. El Sprint 8 se planificó con el 30-10 como referencia, y la fecha queda a fijar en la presentación del 16-10.</w:t>
      </w:r>
    </w:p>
    <w:bookmarkEnd w:id="24"/>
    <w:bookmarkStart w:id="25" w:name="revisión-del-sprint"/>
    <w:p>
      <w:pPr>
        <w:pStyle w:val="Heading1"/>
      </w:pPr>
      <w:r>
        <w:t xml:space="preserve">6. Revisión del sprint</w:t>
      </w:r>
    </w:p>
    <w:p>
      <w:pPr>
        <w:pStyle w:val="FirstParagraph"/>
      </w:pPr>
      <w:r>
        <w:t xml:space="preserve">El incremento se presentó al cliente el</w:t>
      </w:r>
      <w:r>
        <w:t xml:space="preserve"> </w:t>
      </w:r>
      <w:r>
        <w:rPr>
          <w:b/>
          <w:bCs/>
        </w:rPr>
        <w:t xml:space="preserve">viernes 16-10-2026</w:t>
      </w:r>
      <w:r>
        <w:t xml:space="preserve">, un día después del cierre. El objetivo se cumplió en sus tres partes: el cliente abre una disputa desde la app y la torre la resuelve; los seis eventos se registran, se exportan y se ven en el tablero; y la licencia de la SEC se valida desde el servidor. Se entregaron 71 de 71 puntos, más 11 de reserva.</w:t>
      </w:r>
    </w:p>
    <w:p>
      <w:pPr>
        <w:pStyle w:val="BodyText"/>
      </w:pPr>
      <w:r>
        <w:t xml:space="preserve">Lo que el incremento no tiene quedó declarado: el cobro real en custodia, el canal de teléfono y la verificación automática de identidad, todos dependientes de terceros, y la ronda de Tania sobre el panel publicado. El resultado detallado de esa presentación se registra junto con el cierre del Sprint 8.</w:t>
      </w:r>
    </w:p>
    <w:p>
      <w:pPr>
        <w:pStyle w:val="BodyText"/>
      </w:pPr>
      <w:r>
        <w:t xml:space="preserve">Al Sprint 8 (19 al 30-10) pasan, con 20 puntos, los hallazgos de revisar el panel con datos: el tablero y «Eventos» para teléfono (Tania, 5); la pantalla de cobros retenidos, la respuesta del operador en vivo en la app, los filtros por número de caso y servicio, la lista de completados paginada y la actualización de librerías (Mauricio, 11); y el recorrido del panel con teclado, la paginación completa de «Eventos» y el selector de sección en teléfono (Nayareth, 4). La ficha del Sprint 8 los detalla.</w:t>
      </w:r>
    </w:p>
    <w:bookmarkEnd w:id="25"/>
    <w:bookmarkStart w:id="26" w:name="retrospectiva"/>
    <w:p>
      <w:pPr>
        <w:pStyle w:val="Heading1"/>
      </w:pPr>
      <w:r>
        <w:t xml:space="preserve">7. Retrospectiva</w:t>
      </w:r>
    </w:p>
    <w:p>
      <w:pPr>
        <w:pStyle w:val="FirstParagraph"/>
      </w:pPr>
      <w:r>
        <w:rPr>
          <w:b/>
          <w:bCs/>
        </w:rPr>
        <w:t xml:space="preserve">Lo que funcionó.</w:t>
      </w:r>
      <w:r>
        <w:t xml:space="preserve"> </w:t>
      </w:r>
      <w:r>
        <w:t xml:space="preserve">El servidor cerró las dos brechas en dos días y publicó cada contrato antes de que el panel lo necesitara. Centralizar la documentación de seguimiento en una sola vía (07-10) eliminó los conflictos de bitácora en más de veinte cambios. Los encargos con criterio de aceptación escrito se cerraron a tiempo: Nayareth recibió cuatro el 10-10 y los integró ese día. Revisar en pantalla con datos cargados encontró lo que las pruebas automáticas no ven, como los nueve problemas del «maestro en camino». Y las dependencias externas se declararon con fecha desde el primer día y no se arrastraron en silencio.</w:t>
      </w:r>
    </w:p>
    <w:p>
      <w:pPr>
        <w:pStyle w:val="BodyText"/>
      </w:pPr>
      <w:r>
        <w:rPr>
          <w:b/>
          <w:bCs/>
        </w:rPr>
        <w:t xml:space="preserve">Lo que nos costó.</w:t>
      </w:r>
      <w:r>
        <w:t xml:space="preserve"> </w:t>
      </w:r>
      <w:r>
        <w:t xml:space="preserve">Hubo once cambios encadenados en una jornada (14-10): cada uno dependía del anterior, y revisar siete versiones sucesivas de las mismas pantallas pesó más que revisarlas juntas. La integración continua quedó sin cuota desde fines de septiembre y el despliegue se hizo a mano hasta la renovación de octubre. El simulador de pagos perdía los cobros al reiniciar desde que existe; ninguna prueba cubría un reinicio hasta el 13-10, y validar en pantalla exigió fabricar datos a mano.</w:t>
      </w:r>
    </w:p>
    <w:p>
      <w:pPr>
        <w:pStyle w:val="BodyText"/>
      </w:pPr>
      <w:r>
        <w:t xml:space="preserve">El «maestro en camino» se probó de punta a punta recién la madrugada del 15-10: lo que no se recorre entero con datos reales aparece tarde. El 07-10 una herramienta de apoyo dejó de estar disponible el resto del día, justo cuando entraron dos encargos nuevos para Tania; y la presentación al cliente se agendó recién el día del cierre.</w:t>
      </w:r>
    </w:p>
    <w:p>
      <w:pPr>
        <w:pStyle w:val="BodyText"/>
      </w:pPr>
      <w:r>
        <w:rPr>
          <w:b/>
          <w:bCs/>
        </w:rPr>
        <w:t xml:space="preserve">Acciones de mejora</w:t>
      </w:r>
    </w:p>
    <w:p>
      <w:pPr>
        <w:pStyle w:val="Compact"/>
        <w:numPr>
          <w:ilvl w:val="0"/>
          <w:numId w:val="1003"/>
        </w:numPr>
      </w:pPr>
      <w:r>
        <w:t xml:space="preserve">Mauricio prepara, en la primera semana del Sprint 8, una siembra local reutilizable con disputas, servicios completados y una cuenta de prueba; se verifica cuando Tania y Nayareth la usan sin ayuda.</w:t>
      </w:r>
    </w:p>
    <w:p>
      <w:pPr>
        <w:pStyle w:val="Compact"/>
        <w:numPr>
          <w:ilvl w:val="0"/>
          <w:numId w:val="1003"/>
        </w:numPr>
      </w:pPr>
      <w:r>
        <w:t xml:space="preserve">Mauricio y Tania prueban también, desde el Sprint 8, la versión de distribución de la app cuando un cambio toque íconos o recursos nativos; se verifica con cada cambio que toque recursos declarándolo.</w:t>
      </w:r>
    </w:p>
    <w:p>
      <w:pPr>
        <w:pStyle w:val="Compact"/>
        <w:numPr>
          <w:ilvl w:val="0"/>
          <w:numId w:val="1003"/>
        </w:numPr>
      </w:pPr>
      <w:r>
        <w:t xml:space="preserve">Tania y Mauricio agrupan durante el Sprint 8 en un solo cambio lo que se revisa de una vez, y usan una cadena solo si cada pieza se revisa por separado; se verifica con ningún día con más de tres cambios encadenados.</w:t>
      </w:r>
    </w:p>
    <w:p>
      <w:pPr>
        <w:pStyle w:val="Compact"/>
        <w:numPr>
          <w:ilvl w:val="0"/>
          <w:numId w:val="1003"/>
        </w:numPr>
      </w:pPr>
      <w:r>
        <w:t xml:space="preserve">Mauricio revisa en el cierre de cada sprint las dependencias con avisos de seguridad, y lo de salto mayor entra como unidad al sprint siguiente; se verifica con la revisión anotada en la bitácora del cierre.</w:t>
      </w:r>
    </w:p>
    <w:p>
      <w:pPr>
        <w:pStyle w:val="Compact"/>
        <w:numPr>
          <w:ilvl w:val="0"/>
          <w:numId w:val="1003"/>
        </w:numPr>
      </w:pPr>
      <w:r>
        <w:t xml:space="preserve">Mauricio escribe en las convenciones del panel, en el primer cambio del panel del Sprint 8, la regla de la prueba de cambio de elemento con el formulario abierto; se verifica con la regla en las convenciones.</w:t>
      </w:r>
    </w:p>
    <w:p>
      <w:pPr>
        <w:pStyle w:val="Compact"/>
        <w:numPr>
          <w:ilvl w:val="0"/>
          <w:numId w:val="1003"/>
        </w:numPr>
      </w:pPr>
      <w:r>
        <w:t xml:space="preserve">Mauricio sobrescribe el resumen de estado de la bitácora en cada cierre en vez de dejarlo crecer, desde el primer cierre del Sprint 8; se verifica con menos de cien líneas al cerrar el Sprint 8.</w:t>
      </w:r>
    </w:p>
    <w:p>
      <w:pPr>
        <w:pStyle w:val="FirstParagraph"/>
      </w:pPr>
      <w:r>
        <w:rPr>
          <w:b/>
          <w:bCs/>
        </w:rPr>
        <w:t xml:space="preserve">Seguimiento de las acciones del sprint anterior.</w:t>
      </w:r>
      <w:r>
        <w:t xml:space="preserve"> </w:t>
      </w:r>
      <w:r>
        <w:t xml:space="preserve">Las ocho acciones de la retrospectiva del Sprint 6 se cumplieron, tres con salvedad. El cierre se registró en la fecha en que ocurrió, aunque la aceptación del cliente se anota después del 16-10. Cada unidad tuvo su cambio abierto al terminarla, pero la ronda visual se entregó en cadena (de ahí la acción de agrupar). La prueba de cambio de elemento se hizo pero no se documentó (de ahí la acción de escribirla). Las otras cinco se cumplieron sin excepciones.</w:t>
      </w:r>
    </w:p>
    <w:bookmarkEnd w:id="26"/>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2026-10-19T18:43:30Z</dcterms:created>
  <dcterms:modified xsi:type="dcterms:W3CDTF">2026-10-19T18:43:30Z</dcterms:modified>
</cp:coreProperties>
</file>

<file path=docProps/custom.xml><?xml version="1.0" encoding="utf-8"?>
<Properties xmlns="http://schemas.openxmlformats.org/officeDocument/2006/custom-properties" xmlns:vt="http://schemas.openxmlformats.org/officeDocument/2006/docPropsVTypes"/>
</file>