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Sprint 8 — Revisión de aceptación del MVP</w:t>
      </w:r>
    </w:p>
    <w:p>
      <w:pPr>
        <w:pStyle w:val="BodyText"/>
      </w:pPr>
      <w:r>
        <w:t xml:space="preserve">Ficha de sprint en curso: planificación y compromiso</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Ventana:</w:t>
      </w:r>
      <w:r>
        <w:t xml:space="preserve"> </w:t>
      </w:r>
      <w:r>
        <w:t xml:space="preserve">19 al 30-10-2026</w:t>
      </w:r>
    </w:p>
    <w:p>
      <w:pPr>
        <w:pStyle w:val="BodyText"/>
      </w:pPr>
      <w:r>
        <w:rPr>
          <w:b/>
          <w:bCs/>
        </w:rPr>
        <w:t xml:space="preserve">Estado:</w:t>
      </w:r>
      <w:r>
        <w:t xml:space="preserve"> </w:t>
      </w:r>
      <w:r>
        <w:t xml:space="preserve">En curso; la revisión y la retrospectiva se registrarán al cierre</w:t>
      </w:r>
    </w:p>
    <w:p>
      <w:r>
        <w:br w:type="page"/>
      </w:r>
    </w:p>
    <w:bookmarkStart w:id="19" w:name="contenido"/>
    <w:p>
      <w:pPr>
        <w:pStyle w:val="Heading1"/>
      </w:pPr>
      <w:r>
        <w:t xml:space="preserve">Contenido</w:t>
      </w:r>
    </w:p>
    <w:p>
      <w:pPr>
        <w:pStyle w:val="Compact"/>
        <w:numPr>
          <w:ilvl w:val="0"/>
          <w:numId w:val="1001"/>
        </w:numPr>
      </w:pPr>
    </w:p>
    <w:p>
      <w:pPr>
        <w:pStyle w:val="Compact"/>
        <w:numPr>
          <w:ilvl w:val="1"/>
          <w:numId w:val="1002"/>
        </w:numPr>
      </w:pPr>
      <w:r>
        <w:t xml:space="preserve">Objetivo</w:t>
      </w:r>
    </w:p>
    <w:p>
      <w:pPr>
        <w:pStyle w:val="Compact"/>
        <w:numPr>
          <w:ilvl w:val="0"/>
          <w:numId w:val="1001"/>
        </w:numPr>
      </w:pPr>
      <w:r>
        <w:t xml:space="preserve">2. Planificación y compromiso</w:t>
      </w:r>
    </w:p>
    <w:p>
      <w:pPr>
        <w:pStyle w:val="Compact"/>
        <w:numPr>
          <w:ilvl w:val="0"/>
          <w:numId w:val="1001"/>
        </w:numPr>
      </w:pPr>
      <w:r>
        <w:t xml:space="preserve">3. Trabajo sin puntos</w:t>
      </w:r>
    </w:p>
    <w:p>
      <w:pPr>
        <w:pStyle w:val="Compact"/>
        <w:numPr>
          <w:ilvl w:val="0"/>
          <w:numId w:val="1001"/>
        </w:numPr>
      </w:pPr>
      <w:r>
        <w:t xml:space="preserve">4. Lo que espera a terceros</w:t>
      </w:r>
    </w:p>
    <w:p>
      <w:pPr>
        <w:pStyle w:val="Compact"/>
        <w:numPr>
          <w:ilvl w:val="0"/>
          <w:numId w:val="1001"/>
        </w:numPr>
      </w:pPr>
      <w:r>
        <w:t xml:space="preserve">5. Riesgos</w:t>
      </w:r>
    </w:p>
    <w:p>
      <w:pPr>
        <w:pStyle w:val="Compact"/>
        <w:numPr>
          <w:ilvl w:val="0"/>
          <w:numId w:val="1001"/>
        </w:numPr>
      </w:pPr>
      <w:r>
        <w:t xml:space="preserve">6. Qué se registrará al cierre</w:t>
      </w:r>
    </w:p>
    <w:p>
      <w:r>
        <w:br w:type="page"/>
      </w:r>
    </w:p>
    <w:bookmarkEnd w:id="19"/>
    <w:bookmarkStart w:id="20" w:name="objetivo"/>
    <w:p>
      <w:pPr>
        <w:pStyle w:val="Heading1"/>
      </w:pPr>
      <w:r>
        <w:t xml:space="preserve">1. Objetivo</w:t>
      </w:r>
    </w:p>
    <w:p>
      <w:pPr>
        <w:pStyle w:val="FirstParagraph"/>
      </w:pPr>
      <w:r>
        <w:t xml:space="preserve">Cerrar lo que la torre de control y la app necesitan para operar con datos reales antes de la revisión de aceptación del MVP de fin de octubre: un cobro retenido que se pueda encontrar, un tablero que se lea en un teléfono, la respuesta del operador que llegue sola a la app, un panel que se recorra con teclado y un número de servicio que se pueda buscar en toda la torre. Es lo que la parte comercial encontraría al usar la torre con datos reales.</w:t>
      </w:r>
    </w:p>
    <w:p>
      <w:pPr>
        <w:pStyle w:val="BodyText"/>
      </w:pPr>
      <w:r>
        <w:t xml:space="preserve">El sprint se planificó el miércoles 14-10, la víspera del cierre del Sprint 7, y corre del lunes 19 al viernes 30 de octubre. Cierra el hito de demostración de octubre acordado con el cliente. Esta ficha se escribe el primer día de la ventana:</w:t>
      </w:r>
      <w:r>
        <w:t xml:space="preserve"> </w:t>
      </w:r>
      <w:r>
        <w:rPr>
          <w:b/>
          <w:bCs/>
        </w:rPr>
        <w:t xml:space="preserve">todavía no hay resultados</w:t>
      </w:r>
      <w:r>
        <w:t xml:space="preserve">, solo el compromiso.</w:t>
      </w:r>
    </w:p>
    <w:bookmarkEnd w:id="20"/>
    <w:bookmarkStart w:id="21" w:name="planificación-y-compromiso"/>
    <w:p>
      <w:pPr>
        <w:pStyle w:val="Heading1"/>
      </w:pPr>
      <w:r>
        <w:t xml:space="preserve">2. Planificación y compromiso</w:t>
      </w:r>
    </w:p>
    <w:p>
      <w:pPr>
        <w:pStyle w:val="FirstParagraph"/>
      </w:pPr>
      <w:r>
        <w:t xml:space="preserve">El compromiso es de</w:t>
      </w:r>
      <w:r>
        <w:t xml:space="preserve"> </w:t>
      </w:r>
      <w:r>
        <w:rPr>
          <w:b/>
          <w:bCs/>
        </w:rPr>
        <w:t xml:space="preserve">20 puntos</w:t>
      </w:r>
      <w:r>
        <w:t xml:space="preserve">: Mauricio 11, Tania 5 y Nayareth 4. Es corto a propósito: las unidades grandes quedaron integradas en el Sprint 7 y lo que queda son cierres acotados que salieron de revisar el panel con datos. Cada integrante confirma sus puntos al integrar su primer cambio.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Persona</w:t>
            </w:r>
          </w:p>
        </w:tc>
        <w:tc>
          <w:tcPr/>
          <w:p>
            <w:pPr>
              <w:pStyle w:val="Compact"/>
            </w:pPr>
            <w:r>
              <w:t xml:space="preserve">Comprometido</w:t>
            </w:r>
          </w:p>
        </w:tc>
      </w:tr>
      <w:tr>
        <w:tc>
          <w:tcPr/>
          <w:p>
            <w:pPr>
              <w:pStyle w:val="Compact"/>
            </w:pPr>
            <w:r>
              <w:t xml:space="preserve">Mauricio Poblete (servidor y app)</w:t>
            </w:r>
          </w:p>
        </w:tc>
        <w:tc>
          <w:tcPr/>
          <w:p>
            <w:pPr>
              <w:pStyle w:val="Compact"/>
            </w:pPr>
            <w:r>
              <w:t xml:space="preserve">11</w:t>
            </w:r>
          </w:p>
        </w:tc>
      </w:tr>
      <w:tr>
        <w:tc>
          <w:tcPr/>
          <w:p>
            <w:pPr>
              <w:pStyle w:val="Compact"/>
            </w:pPr>
            <w:r>
              <w:t xml:space="preserve">Tania Sáez (panel y diseño)</w:t>
            </w:r>
          </w:p>
        </w:tc>
        <w:tc>
          <w:tcPr/>
          <w:p>
            <w:pPr>
              <w:pStyle w:val="Compact"/>
            </w:pPr>
            <w:r>
              <w:t xml:space="preserve">5</w:t>
            </w:r>
          </w:p>
        </w:tc>
      </w:tr>
      <w:tr>
        <w:tc>
          <w:tcPr/>
          <w:p>
            <w:pPr>
              <w:pStyle w:val="Compact"/>
            </w:pPr>
            <w:r>
              <w:t xml:space="preserve">Nayareth Suárez (métricas y encargos del panel)</w:t>
            </w:r>
          </w:p>
        </w:tc>
        <w:tc>
          <w:tcPr/>
          <w:p>
            <w:pPr>
              <w:pStyle w:val="Compact"/>
            </w:pPr>
            <w:r>
              <w:t xml:space="preserve">4</w:t>
            </w:r>
          </w:p>
        </w:tc>
      </w:tr>
      <w:tr>
        <w:tc>
          <w:tcPr/>
          <w:p>
            <w:pPr>
              <w:pStyle w:val="Compact"/>
            </w:pPr>
            <w:r>
              <w:t xml:space="preserve">Total</w:t>
            </w:r>
          </w:p>
        </w:tc>
        <w:tc>
          <w:tcPr/>
          <w:p>
            <w:pPr>
              <w:pStyle w:val="Compact"/>
            </w:pPr>
            <w:r>
              <w:t xml:space="preserve">20</w:t>
            </w:r>
          </w:p>
        </w:tc>
      </w:tr>
    </w:tbl>
    <w:p>
      <w:pPr>
        <w:pStyle w:val="BodyText"/>
      </w:pPr>
      <w:r>
        <w:rPr>
          <w:b/>
          <w:bCs/>
        </w:rPr>
        <w:t xml:space="preserve">Mauricio Poblete</w:t>
      </w:r>
      <w:r>
        <w:t xml:space="preserve"> </w:t>
      </w:r>
      <w:r>
        <w:t xml:space="preserve">filtrará las disputas por número de caso o de servicio en la torre (2) y hará una pantalla en Pagos con todos los cobros retenidos, para que ninguno quede olvidado (3). También hará que la respuesta del operador de soporte aparezca en la app sin reabrir el chat (3) y que la lista de servicios completados se cargue por páginas desde el servidor (2). Por último, actualizará las librerías con salto de versión mayor, probando las notificaciones que dependen de ellas (1).</w:t>
      </w:r>
    </w:p>
    <w:p>
      <w:pPr>
        <w:pStyle w:val="BodyText"/>
      </w:pPr>
      <w:r>
        <w:rPr>
          <w:b/>
          <w:bCs/>
        </w:rPr>
        <w:t xml:space="preserve">Tania Sáez</w:t>
      </w:r>
      <w:r>
        <w:t xml:space="preserve"> </w:t>
      </w:r>
      <w:r>
        <w:t xml:space="preserve">rediseñará el tablero de métricas y la lista de eventos para teléfono, con tarjetas en lugar de filas tipo planilla (5); la maqueta estará el 19-10 y se revisará antes de construir.</w:t>
      </w:r>
    </w:p>
    <w:p>
      <w:pPr>
        <w:pStyle w:val="BodyText"/>
      </w:pPr>
      <w:r>
        <w:rPr>
          <w:b/>
          <w:bCs/>
        </w:rPr>
        <w:t xml:space="preserve">Nayareth Suárez</w:t>
      </w:r>
      <w:r>
        <w:t xml:space="preserve"> </w:t>
      </w:r>
      <w:r>
        <w:t xml:space="preserve">recorrerá el panel completo solo con teclado y comprobará los estados de carga, vacío y error de cada lista, corrigiendo lo que no pase (2). Agregará primera y última página en la lista de eventos (1) y el mismo selector de sección en teléfono que el resto del panel (1).</w:t>
      </w:r>
    </w:p>
    <w:p>
      <w:pPr>
        <w:pStyle w:val="BodyText"/>
      </w:pPr>
      <w:r>
        <w:t xml:space="preserve">El servidor empieza por lo que las otras vías ya esperan: los filtros por número de caso y servicio. Quien escribe cada pantalla nueva se acuerda con Tania al empezar la unidad, y ella revisa el diseño. Regla fijada el 16-10: a Nayareth se le ceden tareas acotadas del servidor y de la app; las integraciones con terceros las hace Mauricio.</w:t>
      </w:r>
    </w:p>
    <w:bookmarkEnd w:id="21"/>
    <w:bookmarkStart w:id="22" w:name="trabajo-sin-puntos"/>
    <w:p>
      <w:pPr>
        <w:pStyle w:val="Heading1"/>
      </w:pPr>
      <w:r>
        <w:t xml:space="preserve">3. Trabajo sin puntos</w:t>
      </w:r>
    </w:p>
    <w:p>
      <w:pPr>
        <w:pStyle w:val="FirstParagraph"/>
      </w:pPr>
      <w:r>
        <w:t xml:space="preserve">Se resuelve dentro del sprint, pero no cuenta en los 20 puntos.</w:t>
      </w:r>
    </w:p>
    <w:p>
      <w:pPr>
        <w:pStyle w:val="BodyText"/>
      </w:pPr>
      <w:r>
        <w:rPr>
          <w:b/>
          <w:bCs/>
        </w:rPr>
        <w:t xml:space="preserve">Decisiones y diseño.</w:t>
      </w:r>
      <w:r>
        <w:t xml:space="preserve"> </w:t>
      </w:r>
      <w:r>
        <w:t xml:space="preserve">Hay que decidir qué pasa con una solicitud que ningún maestro toma. La asignación manual salió del menú de la torre el 14-10 hasta decidir el flujo; la inclinación es cancelarla y pedir al cliente que intente más tarde. Queda también la ronda de Tania sobre el panel publicado con datos reales, pendiente del Sprint 7. Tres preguntas de diseño del panel (colores de confirmar un rechazo y del estado «ilegible», tamaño del logo de acceso) las resolvió Tania el 16-10, antes de abrir la ventana, y el cambio espera integrarse. Falta lo que resta de la revisión del diseño de la app; dos cambios adelantados el 15 y 16-10 están en revisión.</w:t>
      </w:r>
    </w:p>
    <w:p>
      <w:pPr>
        <w:pStyle w:val="BodyText"/>
      </w:pPr>
      <w:r>
        <w:rPr>
          <w:b/>
          <w:bCs/>
        </w:rPr>
        <w:t xml:space="preserve">Comprobaciones y acciones pendientes.</w:t>
      </w:r>
      <w:r>
        <w:t xml:space="preserve"> </w:t>
      </w:r>
      <w:r>
        <w:t xml:space="preserve">Mauricio comprobará la carga por páginas de completados en un teléfono real, hará otra ronda del flujo del maestro en camino y la declaración del uso de ubicación en la tienda de aplicaciones. De la retrospectiva del Sprint 7 quedan la siembra local reutilizable (primera semana) y la revisión de dependencias al cierre. Hay además dos candidatas sin compromiso: las horas con «a. m.» y «p. m.» en teléfonos en formato de 12 horas, y un aviso de error fijo en el chat de soporte.</w:t>
      </w:r>
    </w:p>
    <w:bookmarkEnd w:id="22"/>
    <w:bookmarkStart w:id="23" w:name="lo-que-espera-a-terceros"/>
    <w:p>
      <w:pPr>
        <w:pStyle w:val="Heading1"/>
      </w:pPr>
      <w:r>
        <w:t xml:space="preserve">4. Lo que espera a terceros</w:t>
      </w:r>
    </w:p>
    <w:p>
      <w:pPr>
        <w:pStyle w:val="FirstParagraph"/>
      </w:pPr>
      <w:r>
        <w:t xml:space="preserve">Nada de esto está en el compromiso. Pasa al</w:t>
      </w:r>
      <w:r>
        <w:t xml:space="preserve"> </w:t>
      </w:r>
      <w:r>
        <w:rPr>
          <w:b/>
          <w:bCs/>
        </w:rPr>
        <w:t xml:space="preserve">Sprint 9, del 02 al 13-11, como contingencia</w:t>
      </w:r>
      <w:r>
        <w:t xml:space="preserve">: se toma solo lo que haya llegado; lo demás sigue declarado, no se arrastra en silencio.</w:t>
      </w:r>
    </w:p>
    <w:p>
      <w:pPr>
        <w:pStyle w:val="BodyText"/>
      </w:pPr>
      <w:r>
        <w:t xml:space="preserve">De la parte comercial se espera la evaluación comercial de la pasarela de pago, pedida para el 09-10 y sin respuesta, que desbloquea el cobro real en custodia y el ambiente productivo; y la contratación del proveedor de verificación de identidad, que desbloquea la verificación automática del maestro. De la asesora legal se espera el pronunciamiento sobre protección de datos personales (Ley 21.719), que desbloquea el filtro de datos de contacto en fotografías, los términos y consentimientos, y la descarga y eliminación de datos.</w:t>
      </w:r>
    </w:p>
    <w:p>
      <w:pPr>
        <w:pStyle w:val="BodyText"/>
      </w:pPr>
      <w:r>
        <w:t xml:space="preserve">Queda en manos del equipo, si sobra capacidad, el canal de teléfono de las notificaciones (3 puntos), que habilita los avisos por mensaje de texto, y una revisión de seguridad con herramientas de análisis automático, que habilita topes de peticiones y protección ante envíos repetidos. Sin dueño ni sprint quedan el acceso con cuenta externa o huella y el impedir la sesión en más de un dispositivo.</w:t>
      </w:r>
    </w:p>
    <w:bookmarkEnd w:id="23"/>
    <w:bookmarkStart w:id="24" w:name="riesgos"/>
    <w:p>
      <w:pPr>
        <w:pStyle w:val="Heading1"/>
      </w:pPr>
      <w:r>
        <w:t xml:space="preserve">5. Riesgos</w:t>
      </w:r>
    </w:p>
    <w:p>
      <w:pPr>
        <w:pStyle w:val="FirstParagraph"/>
      </w:pPr>
      <w:r>
        <w:rPr>
          <w:b/>
          <w:bCs/>
        </w:rPr>
        <w:t xml:space="preserve">Dependencias externas.</w:t>
      </w:r>
      <w:r>
        <w:t xml:space="preserve"> </w:t>
      </w:r>
      <w:r>
        <w:t xml:space="preserve">Las tres dependencias externas siguen sin respuesta y pueden dejar el cobro real y la verificación automática fuera otro sprint. Se acota porque ya están fuera del compromiso y declaradas para el Sprint 9.</w:t>
      </w:r>
    </w:p>
    <w:p>
      <w:pPr>
        <w:pStyle w:val="BodyText"/>
      </w:pPr>
      <w:r>
        <w:rPr>
          <w:b/>
          <w:bCs/>
        </w:rPr>
        <w:t xml:space="preserve">Revisión única.</w:t>
      </w:r>
      <w:r>
        <w:t xml:space="preserve"> </w:t>
      </w:r>
      <w:r>
        <w:t xml:space="preserve">La revisión sigue siendo de una sola persona y ahora hay tres vías construyendo. Se acota con un cambio por unidad, nunca en cadena, y con la maqueta del tablero revisada antes de construir.</w:t>
      </w:r>
    </w:p>
    <w:p>
      <w:pPr>
        <w:pStyle w:val="BodyText"/>
      </w:pPr>
      <w:r>
        <w:rPr>
          <w:b/>
          <w:bCs/>
        </w:rPr>
        <w:t xml:space="preserve">Fecha de aceptación.</w:t>
      </w:r>
      <w:r>
        <w:t xml:space="preserve"> </w:t>
      </w:r>
      <w:r>
        <w:t xml:space="preserve">La fecha de la revisión de aceptación del MVP estaba por fijar al planificar. Se acordó fijarla en la presentación del 16-10, con el 30-10 como referencia.</w:t>
      </w:r>
    </w:p>
    <w:p>
      <w:pPr>
        <w:pStyle w:val="BodyText"/>
      </w:pPr>
      <w:r>
        <w:rPr>
          <w:b/>
          <w:bCs/>
        </w:rPr>
        <w:t xml:space="preserve">Datos y librerías.</w:t>
      </w:r>
      <w:r>
        <w:t xml:space="preserve"> </w:t>
      </w:r>
      <w:r>
        <w:t xml:space="preserve">Revisar en pantalla exige datos reales, y la actualización de librerías toca el envío de notificaciones. Se acota con la siembra reutilizable en la primera semana, y con pruebas de notificaciones y despliegue sano antes de cerrar la unidad.</w:t>
      </w:r>
    </w:p>
    <w:bookmarkEnd w:id="24"/>
    <w:bookmarkStart w:id="25" w:name="qué-se-registrará-al-cierre"/>
    <w:p>
      <w:pPr>
        <w:pStyle w:val="Heading1"/>
      </w:pPr>
      <w:r>
        <w:t xml:space="preserve">6. Qué se registrará al cierre</w:t>
      </w:r>
    </w:p>
    <w:p>
      <w:pPr>
        <w:pStyle w:val="FirstParagraph"/>
      </w:pPr>
      <w:r>
        <w:t xml:space="preserve">El Sprint 8 termina el</w:t>
      </w:r>
      <w:r>
        <w:t xml:space="preserve"> </w:t>
      </w:r>
      <w:r>
        <w:rPr>
          <w:b/>
          <w:bCs/>
        </w:rPr>
        <w:t xml:space="preserve">viernes 30-10-2026</w:t>
      </w:r>
      <w:r>
        <w:t xml:space="preserve"> </w:t>
      </w:r>
      <w:r>
        <w:t xml:space="preserve">con la revisión de aceptación del MVP junto al cliente, como Product Owner. Ese día se escribirán, con la fecha en que ocurran, tres registros. El primero es el acta de revisión: qué se presentó, si el objetivo se cumplió, los puntos entregados de los 20, lo que el incremento no tiene y las observaciones del cliente. El segundo es la retrospectiva: qué funcionó, qué costó, las acciones de mejora y el seguimiento de las seis acciones del Sprint 7. El tercero es lo que pasa al Sprint 9, con dueño.</w:t>
      </w:r>
    </w:p>
    <w:p>
      <w:pPr>
        <w:pStyle w:val="BodyText"/>
      </w:pPr>
      <w:r>
        <w:t xml:space="preserve">Hasta entonces esta ficha registra solo la planificación; el seguimiento diario se incorporará a la versión de cierre con sus hitos fechados.</w:t>
      </w:r>
    </w:p>
    <w:bookmarkEnd w:id="25"/>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2026-10-19T18:43:30Z</dcterms:created>
  <dcterms:modified xsi:type="dcterms:W3CDTF">2026-10-19T18:43:30Z</dcterms:modified>
</cp:coreProperties>
</file>

<file path=docProps/custom.xml><?xml version="1.0" encoding="utf-8"?>
<Properties xmlns="http://schemas.openxmlformats.org/officeDocument/2006/custom-properties" xmlns:vt="http://schemas.openxmlformats.org/officeDocument/2006/docPropsVTypes"/>
</file>