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RELWO</w:t>
      </w:r>
    </w:p>
    <w:p>
      <w:pPr>
        <w:pStyle w:val="BodyText"/>
      </w:pPr>
      <w:r>
        <w:t xml:space="preserve">Plataforma de servicios a domicilio con pago en custodia</w:t>
      </w:r>
    </w:p>
    <w:p>
      <w:pPr>
        <w:pStyle w:val="BodyText"/>
      </w:pPr>
      <w:r>
        <w:rPr>
          <w:b/>
          <w:bCs/>
        </w:rPr>
        <w:t xml:space="preserve">Registro de cambios de alcance</w:t>
      </w:r>
    </w:p>
    <w:p>
      <w:pPr>
        <w:pStyle w:val="BodyText"/>
      </w:pPr>
      <w:r>
        <w:t xml:space="preserve">Cómo se controló el alcance del MVP: cambios mayores, quién los pidió, por qué y su impacto en el plan</w:t>
      </w:r>
    </w:p>
    <w:p>
      <w:pPr>
        <w:pStyle w:val="BodyText"/>
      </w:pPr>
      <w:r>
        <w:rPr>
          <w:b/>
          <w:bCs/>
        </w:rPr>
        <w:t xml:space="preserve">Asignatura:</w:t>
      </w:r>
      <w:r>
        <w:t xml:space="preserve"> </w:t>
      </w:r>
      <w:r>
        <w:t xml:space="preserve">Portafolio de Título (Capstone) — PTY4614</w:t>
      </w:r>
    </w:p>
    <w:p>
      <w:pPr>
        <w:pStyle w:val="BodyText"/>
      </w:pPr>
      <w:r>
        <w:rPr>
          <w:b/>
          <w:bCs/>
        </w:rPr>
        <w:t xml:space="preserve">Carrera:</w:t>
      </w:r>
      <w:r>
        <w:t xml:space="preserve"> </w:t>
      </w:r>
      <w:r>
        <w:t xml:space="preserve">Ingeniería en Informática — Duoc UC, Sede Plaza Norte</w:t>
      </w:r>
    </w:p>
    <w:p>
      <w:pPr>
        <w:pStyle w:val="BodyText"/>
      </w:pPr>
      <w:r>
        <w:rPr>
          <w:b/>
          <w:bCs/>
        </w:rPr>
        <w:t xml:space="preserve">Equipo:</w:t>
      </w:r>
      <w:r>
        <w:t xml:space="preserve"> </w:t>
      </w:r>
      <w:r>
        <w:t xml:space="preserve">Mauricio Poblete · Tania Sáez · Nayareth Suárez</w:t>
      </w:r>
    </w:p>
    <w:p>
      <w:pPr>
        <w:pStyle w:val="BodyText"/>
      </w:pPr>
      <w:r>
        <w:rPr>
          <w:b/>
          <w:bCs/>
        </w:rPr>
        <w:t xml:space="preserve">Fase:</w:t>
      </w:r>
      <w:r>
        <w:t xml:space="preserve"> </w:t>
      </w:r>
      <w:r>
        <w:t xml:space="preserve">Fase 2 — Desarrollo y ejecución</w:t>
      </w:r>
    </w:p>
    <w:p>
      <w:pPr>
        <w:pStyle w:val="BodyText"/>
      </w:pPr>
      <w:r>
        <w:rPr>
          <w:b/>
          <w:bCs/>
        </w:rPr>
        <w:t xml:space="preserve">Fecha:</w:t>
      </w:r>
      <w:r>
        <w:t xml:space="preserve"> </w:t>
      </w:r>
      <w:r>
        <w:t xml:space="preserve">19 de octubre de 2026</w:t>
      </w:r>
    </w:p>
    <w:p>
      <w:pPr>
        <w:pStyle w:val="BodyText"/>
      </w:pPr>
      <w:r>
        <w:rPr>
          <w:b/>
          <w:bCs/>
        </w:rPr>
        <w:t xml:space="preserve">Estado:</w:t>
      </w:r>
      <w:r>
        <w:t xml:space="preserve"> </w:t>
      </w:r>
      <w:r>
        <w:t xml:space="preserve">Al cierre del Sprint 7; Sprint 8 en curso</w:t>
      </w:r>
    </w:p>
    <w:p>
      <w:r>
        <w:br w:type="page"/>
      </w:r>
    </w:p>
    <w:bookmarkStart w:id="19" w:name="contenido"/>
    <w:p>
      <w:pPr>
        <w:pStyle w:val="Heading1"/>
      </w:pPr>
      <w:r>
        <w:t xml:space="preserve">Contenido</w:t>
      </w:r>
    </w:p>
    <w:p>
      <w:pPr>
        <w:pStyle w:val="Compact"/>
        <w:numPr>
          <w:ilvl w:val="0"/>
          <w:numId w:val="1001"/>
        </w:numPr>
      </w:pPr>
      <w:r>
        <w:t xml:space="preserve">Para qué sirve este registro</w:t>
      </w:r>
    </w:p>
    <w:p>
      <w:pPr>
        <w:pStyle w:val="Compact"/>
        <w:numPr>
          <w:ilvl w:val="0"/>
          <w:numId w:val="1001"/>
        </w:numPr>
      </w:pPr>
      <w:r>
        <w:t xml:space="preserve">Cómo funcionó el control de cambios</w:t>
      </w:r>
    </w:p>
    <w:p>
      <w:pPr>
        <w:pStyle w:val="Compact"/>
        <w:numPr>
          <w:ilvl w:val="0"/>
          <w:numId w:val="1001"/>
        </w:numPr>
      </w:pPr>
      <w:r>
        <w:t xml:space="preserve">Cambios mayores</w:t>
      </w:r>
    </w:p>
    <w:p>
      <w:pPr>
        <w:pStyle w:val="Compact"/>
        <w:numPr>
          <w:ilvl w:val="0"/>
          <w:numId w:val="1001"/>
        </w:numPr>
      </w:pPr>
      <w:r>
        <w:t xml:space="preserve">El cambio más grande, explicado</w:t>
      </w:r>
    </w:p>
    <w:p>
      <w:pPr>
        <w:pStyle w:val="Compact"/>
        <w:numPr>
          <w:ilvl w:val="0"/>
          <w:numId w:val="1001"/>
        </w:numPr>
      </w:pPr>
      <w:r>
        <w:t xml:space="preserve">Impacto en la capacidad y en el plan</w:t>
      </w:r>
    </w:p>
    <w:p>
      <w:pPr>
        <w:pStyle w:val="Compact"/>
        <w:numPr>
          <w:ilvl w:val="0"/>
          <w:numId w:val="1001"/>
        </w:numPr>
      </w:pPr>
      <w:r>
        <w:t xml:space="preserve">Bloqueos y decisiones pendientes de terceros</w:t>
      </w:r>
    </w:p>
    <w:p>
      <w:pPr>
        <w:pStyle w:val="Compact"/>
        <w:numPr>
          <w:ilvl w:val="0"/>
          <w:numId w:val="1001"/>
        </w:numPr>
      </w:pPr>
      <w:r>
        <w:t xml:space="preserve">Lecciones aprendidas sobre el control del alcance</w:t>
      </w:r>
    </w:p>
    <w:p>
      <w:r>
        <w:br w:type="page"/>
      </w:r>
    </w:p>
    <w:bookmarkEnd w:id="19"/>
    <w:bookmarkStart w:id="20" w:name="para-qué-sirve-este-registro"/>
    <w:p>
      <w:pPr>
        <w:pStyle w:val="Heading1"/>
      </w:pPr>
      <w:r>
        <w:t xml:space="preserve">1. Para qué sirve este registro</w:t>
      </w:r>
    </w:p>
    <w:p>
      <w:pPr>
        <w:pStyle w:val="FirstParagraph"/>
      </w:pPr>
      <w:r>
        <w:t xml:space="preserve">Este documento resume cómo el equipo controló el alcance del MVP de RELWO entre el 5 de agosto y el 19 de octubre de 2026. En ese período se registraron 137 decisiones numeradas que corrigen, amplían o recortan el alcance acordado al inicio. La mayoría son detalles de pantalla o de parámetros que no mueven el plan, y aquí se dejan fuera. Lo que se presenta es lo que un docente que actúa como PMO necesita saber: qué mecanismo usamos para decidir, cuáles cambios movieron el plan, quién los pidió, por qué se aceptaron y qué costaron en historias, sprints y trabajo rehecho.</w:t>
      </w:r>
    </w:p>
    <w:bookmarkEnd w:id="20"/>
    <w:bookmarkStart w:id="25" w:name="cómo-funcionó-el-control-de-cambios"/>
    <w:p>
      <w:pPr>
        <w:pStyle w:val="Heading1"/>
      </w:pPr>
      <w:r>
        <w:t xml:space="preserve">2. Cómo funcionó el control de cambios</w:t>
      </w:r>
    </w:p>
    <w:bookmarkStart w:id="21" w:name="el-ciclo-de-una-decisión"/>
    <w:p>
      <w:pPr>
        <w:pStyle w:val="Heading2"/>
      </w:pPr>
      <w:r>
        <w:t xml:space="preserve">2.1 El ciclo de una decisión</w:t>
      </w:r>
    </w:p>
    <w:p>
      <w:pPr>
        <w:pStyle w:val="FirstParagraph"/>
      </w:pPr>
      <w:r>
        <w:t xml:space="preserve">Cada cambio de alcance siguió el mismo ciclo, desde la primera reunión de definición hasta el último ajuste del Sprint 7:</w:t>
      </w:r>
    </w:p>
    <w:p>
      <w:pPr>
        <w:pStyle w:val="BodyText"/>
      </w:pPr>
      <w:r>
        <w:rPr>
          <w:b/>
          <w:bCs/>
        </w:rPr>
        <w:t xml:space="preserve">1. Origen.</w:t>
      </w:r>
      <w:r>
        <w:t xml:space="preserve"> </w:t>
      </w:r>
      <w:r>
        <w:t xml:space="preserve">Una reunión con el cliente, una revisión del prototipo, una observación del docente o un hallazgo al construir genera una pregunta que el alcance vigente no responde.</w:t>
      </w:r>
    </w:p>
    <w:p>
      <w:pPr>
        <w:pStyle w:val="BodyText"/>
      </w:pPr>
      <w:r>
        <w:rPr>
          <w:b/>
          <w:bCs/>
        </w:rPr>
        <w:t xml:space="preserve">2. Registro con fecha.</w:t>
      </w:r>
      <w:r>
        <w:t xml:space="preserve"> </w:t>
      </w:r>
      <w:r>
        <w:t xml:space="preserve">El mismo día se anota la decisión: fecha, quién la pidió (parte comercial, asesora legal, diseño, desarrollo o docente), qué corrige y a qué requerimiento o historia afecta. Si una decisión reemplaza a otra, la anterior se conserva con una nota que indica cuál la reemplaza. Nunca se reescribió una decisión fechada.</w:t>
      </w:r>
    </w:p>
    <w:p>
      <w:pPr>
        <w:pStyle w:val="BodyText"/>
      </w:pPr>
      <w:r>
        <w:rPr>
          <w:b/>
          <w:bCs/>
        </w:rPr>
        <w:t xml:space="preserve">3. Cálculo del impacto.</w:t>
      </w:r>
      <w:r>
        <w:t xml:space="preserve"> </w:t>
      </w:r>
      <w:r>
        <w:t xml:space="preserve">Se recalcula la carga en puntos por sprint y por persona; se identifican las historias que dejan de aplicar, las que nacen y las que cambian de contenido. Si hay que rehacer algo construido, se declara de forma explícita.</w:t>
      </w:r>
    </w:p>
    <w:p>
      <w:pPr>
        <w:pStyle w:val="BodyText"/>
      </w:pPr>
      <w:r>
        <w:rPr>
          <w:b/>
          <w:bCs/>
        </w:rPr>
        <w:t xml:space="preserve">4. Actualización de bloqueos.</w:t>
      </w:r>
      <w:r>
        <w:t xml:space="preserve"> </w:t>
      </w:r>
      <w:r>
        <w:t xml:space="preserve">Cada ronda cierra bloqueos y a veces abre otros. La lista se actualiza en la misma sesión, con la fecha en que se necesita la respuesta y quién debe darla.</w:t>
      </w:r>
    </w:p>
    <w:p>
      <w:pPr>
        <w:pStyle w:val="BodyText"/>
      </w:pPr>
      <w:r>
        <w:rPr>
          <w:b/>
          <w:bCs/>
        </w:rPr>
        <w:t xml:space="preserve">5. Corrección de documentos.</w:t>
      </w:r>
      <w:r>
        <w:t xml:space="preserve"> </w:t>
      </w:r>
      <w:r>
        <w:t xml:space="preserve">Se enumeran los documentos afectados —alcance funcional, arquitectura, brief técnico, requerimientos de diseño, prototipo y plan de trabajo— y se regeneran en bloque, para que una misma decisión no quede escrita de dos formas.</w:t>
      </w:r>
    </w:p>
    <w:bookmarkEnd w:id="21"/>
    <w:bookmarkStart w:id="22" w:name="jerarquía-de-fuentes"/>
    <w:p>
      <w:pPr>
        <w:pStyle w:val="Heading2"/>
      </w:pPr>
      <w:r>
        <w:t xml:space="preserve">2.2 Jerarquía de fuentes</w:t>
      </w:r>
    </w:p>
    <w:p>
      <w:pPr>
        <w:pStyle w:val="FirstParagraph"/>
      </w:pPr>
      <w:r>
        <w:t xml:space="preserve">Cuando dos fuentes decían cosas distintas, el orden fue siempre el mismo. Primero manda el</w:t>
      </w:r>
      <w:r>
        <w:t xml:space="preserve"> </w:t>
      </w:r>
      <w:r>
        <w:rPr>
          <w:b/>
          <w:bCs/>
        </w:rPr>
        <w:t xml:space="preserve">prototipo navegable</w:t>
      </w:r>
      <w:r>
        <w:t xml:space="preserve"> </w:t>
      </w:r>
      <w:r>
        <w:t xml:space="preserve">construido por Tania Sáez, acordado con el cliente el 7 de agosto como referencia visual y de flujo del MVP. Segundo, el</w:t>
      </w:r>
      <w:r>
        <w:t xml:space="preserve"> </w:t>
      </w:r>
      <w:r>
        <w:rPr>
          <w:b/>
          <w:bCs/>
        </w:rPr>
        <w:t xml:space="preserve">registro de decisiones</w:t>
      </w:r>
      <w:r>
        <w:t xml:space="preserve">, que corrige al prototipo cuando una reunión posterior lo deja atrás. Tercero, los</w:t>
      </w:r>
      <w:r>
        <w:t xml:space="preserve"> </w:t>
      </w:r>
      <w:r>
        <w:rPr>
          <w:b/>
          <w:bCs/>
        </w:rPr>
        <w:t xml:space="preserve">documentos rectores</w:t>
      </w:r>
      <w:r>
        <w:t xml:space="preserve">, que se ponen al día después de cada ronda. La definición inicial del alcance quedó como línea base: cada contradicción con ella se registró como cambio de alcance y se presentó al cliente, en vez de resolverse en silencio.</w:t>
      </w:r>
    </w:p>
    <w:bookmarkEnd w:id="22"/>
    <w:bookmarkStart w:id="23" w:name="reglas-que-nunca-se-relajaron"/>
    <w:p>
      <w:pPr>
        <w:pStyle w:val="Heading2"/>
      </w:pPr>
      <w:r>
        <w:t xml:space="preserve">2.3 Reglas que nunca se relajaron</w:t>
      </w:r>
    </w:p>
    <w:p>
      <w:pPr>
        <w:pStyle w:val="FirstParagraph"/>
      </w:pPr>
      <w:r>
        <w:t xml:space="preserve">Tres reglas de diseño sirvieron de filtro para cada decisión, y ninguna de las 137 las relajó.</w:t>
      </w:r>
    </w:p>
    <w:p>
      <w:pPr>
        <w:pStyle w:val="BodyText"/>
      </w:pPr>
      <w:r>
        <w:rPr>
          <w:b/>
          <w:bCs/>
        </w:rPr>
        <w:t xml:space="preserve">Los montos se calculan solo en el servidor.</w:t>
      </w:r>
      <w:r>
        <w:t xml:space="preserve"> </w:t>
      </w:r>
      <w:r>
        <w:t xml:space="preserve">El maestro declara una cifra, pero el total, los recargos y las comisiones los calcula el servidor; la app nunca envía un monto que el servidor acepte como válido.</w:t>
      </w:r>
    </w:p>
    <w:p>
      <w:pPr>
        <w:pStyle w:val="BodyText"/>
      </w:pPr>
      <w:r>
        <w:rPr>
          <w:b/>
          <w:bCs/>
        </w:rPr>
        <w:t xml:space="preserve">Los ocho estados del servicio están cerrados.</w:t>
      </w:r>
      <w:r>
        <w:t xml:space="preserve"> </w:t>
      </w:r>
      <w:r>
        <w:t xml:space="preserve">Creación, confirmación, pago en custodia, ejecución, pendiente de cierre, completado, cancelado y en disputa. Ningún cambio agregó un estado: el despacho, las ofertas, la aprobación en terreno y la cancelación se modelaron como entidades propias. El único cambio fue de orden —el pago pasó a ocurrir después de la confirmación—, no de cantidad.</w:t>
      </w:r>
    </w:p>
    <w:p>
      <w:pPr>
        <w:pStyle w:val="BodyText"/>
      </w:pPr>
      <w:r>
        <w:rPr>
          <w:b/>
          <w:bCs/>
        </w:rPr>
        <w:t xml:space="preserve">Las reglas del negocio son datos, no código.</w:t>
      </w:r>
      <w:r>
        <w:t xml:space="preserve"> </w:t>
      </w:r>
      <w:r>
        <w:t xml:space="preserve">Comisiones, plazos, topes, umbrales, rangos y catálogos se administran desde la torre de control. Cuando el cliente no tenía una cifra, el parámetro arrancaba vacío con una conducta segura (sin cifra: sin tope, sin vencimiento, sin alerta) y se carga después sin desplegar.</w:t>
      </w:r>
    </w:p>
    <w:bookmarkEnd w:id="23"/>
    <w:bookmarkStart w:id="24" w:name="dejar-por-escrito-qué-queda-fuera"/>
    <w:p>
      <w:pPr>
        <w:pStyle w:val="Heading2"/>
      </w:pPr>
      <w:r>
        <w:t xml:space="preserve">2.4 Dejar por escrito qué queda fuera</w:t>
      </w:r>
    </w:p>
    <w:p>
      <w:pPr>
        <w:pStyle w:val="FirstParagraph"/>
      </w:pPr>
      <w:r>
        <w:t xml:space="preserve">Al inicio de cada sprint, el compromiso incluyó una lista explícita de lo que</w:t>
      </w:r>
      <w:r>
        <w:t xml:space="preserve"> </w:t>
      </w:r>
      <w:r>
        <w:rPr>
          <w:b/>
          <w:bCs/>
        </w:rPr>
        <w:t xml:space="preserve">no</w:t>
      </w:r>
      <w:r>
        <w:t xml:space="preserve"> </w:t>
      </w:r>
      <w:r>
        <w:t xml:space="preserve">entraba: la integración real con la pasarela de pago, el proveedor de verificación de identidad, la recurrencia de limpieza, el canal telefónico. Esa lista se presentó al cliente junto con el incremento en cada hito de demostración. Así ninguna demostración se midió contra una expectativa no comprometida.</w:t>
      </w:r>
    </w:p>
    <w:p>
      <w:r>
        <w:br w:type="page"/>
      </w:r>
    </w:p>
    <w:bookmarkEnd w:id="24"/>
    <w:bookmarkEnd w:id="25"/>
    <w:bookmarkStart w:id="27" w:name="cambios-mayores"/>
    <w:p>
      <w:pPr>
        <w:pStyle w:val="Heading1"/>
      </w:pPr>
      <w:r>
        <w:t xml:space="preserve">3. Cambios mayores</w:t>
      </w:r>
    </w:p>
    <w:p>
      <w:pPr>
        <w:pStyle w:val="FirstParagraph"/>
      </w:pPr>
      <w:r>
        <w:t xml:space="preserve">La tabla reúne los quince cambios que movieron el plan. Las fechas son las del registro.</w:t>
      </w:r>
      <w:r>
        <w:t xml:space="preserve"> </w:t>
      </w:r>
      <w:r>
        <w:t xml:space="preserve">“Quién lo pidió”</w:t>
      </w:r>
      <w:r>
        <w:t xml:space="preserve"> </w:t>
      </w:r>
      <w:r>
        <w:t xml:space="preserve">indica el área que originó el cambio; cuando el equipo lo propuso y el cliente lo aceptó, se indica así.</w:t>
      </w:r>
    </w:p>
    <w:tbl>
      <w:tblPr>
        <w:tblStyle w:val="Table"/>
        <w:tblW w:type="pct" w:w="5000"/>
        <w:tblLayout w:type="fixed"/>
        <w:tblLook w:firstRow="1" w:lastRow="0" w:firstColumn="0" w:lastColumn="0" w:noHBand="0" w:noVBand="0" w:val="0020"/>
      </w:tblPr>
      <w:tblGrid>
        <w:gridCol w:w="510"/>
        <w:gridCol w:w="766"/>
        <w:gridCol w:w="4854"/>
        <w:gridCol w:w="1788"/>
      </w:tblGrid>
      <w:tr>
        <w:trPr>
          <w:tblHeader w:val="on"/>
        </w:trPr>
        <w:tc>
          <w:tcPr/>
          <w:p>
            <w:pPr>
              <w:pStyle w:val="Compact"/>
            </w:pPr>
            <w:r>
              <w:t xml:space="preserve">N.º</w:t>
            </w:r>
          </w:p>
        </w:tc>
        <w:tc>
          <w:tcPr/>
          <w:p>
            <w:pPr>
              <w:pStyle w:val="Compact"/>
            </w:pPr>
            <w:r>
              <w:t xml:space="preserve">Fecha</w:t>
            </w:r>
          </w:p>
        </w:tc>
        <w:tc>
          <w:tcPr/>
          <w:p>
            <w:pPr>
              <w:pStyle w:val="Compact"/>
            </w:pPr>
            <w:r>
              <w:t xml:space="preserve">Cambio</w:t>
            </w:r>
          </w:p>
        </w:tc>
        <w:tc>
          <w:tcPr/>
          <w:p>
            <w:pPr>
              <w:pStyle w:val="Compact"/>
            </w:pPr>
            <w:r>
              <w:t xml:space="preserve">Quién lo pidió (área)</w:t>
            </w:r>
          </w:p>
        </w:tc>
      </w:tr>
      <w:tr>
        <w:tc>
          <w:tcPr/>
          <w:p>
            <w:pPr>
              <w:pStyle w:val="Compact"/>
            </w:pPr>
            <w:r>
              <w:t xml:space="preserve">1</w:t>
            </w:r>
          </w:p>
        </w:tc>
        <w:tc>
          <w:tcPr/>
          <w:p>
            <w:pPr>
              <w:pStyle w:val="Compact"/>
            </w:pPr>
            <w:r>
              <w:t xml:space="preserve">05-08</w:t>
            </w:r>
          </w:p>
        </w:tc>
        <w:tc>
          <w:tcPr/>
          <w:p>
            <w:pPr>
              <w:pStyle w:val="Compact"/>
            </w:pPr>
            <w:r>
              <w:t xml:space="preserve">Registro de clientes y maestros con aprobación en la torre de control</w:t>
            </w:r>
          </w:p>
        </w:tc>
        <w:tc>
          <w:tcPr/>
          <w:p>
            <w:pPr>
              <w:pStyle w:val="Compact"/>
            </w:pPr>
            <w:r>
              <w:t xml:space="preserve">Parte comercial; mecánica del equipo</w:t>
            </w:r>
          </w:p>
        </w:tc>
      </w:tr>
      <w:tr>
        <w:tc>
          <w:tcPr/>
          <w:p>
            <w:pPr>
              <w:pStyle w:val="Compact"/>
            </w:pPr>
            <w:r>
              <w:t xml:space="preserve">2</w:t>
            </w:r>
          </w:p>
        </w:tc>
        <w:tc>
          <w:tcPr/>
          <w:p>
            <w:pPr>
              <w:pStyle w:val="Compact"/>
            </w:pPr>
            <w:r>
              <w:t xml:space="preserve">05-08</w:t>
            </w:r>
          </w:p>
        </w:tc>
        <w:tc>
          <w:tcPr/>
          <w:p>
            <w:pPr>
              <w:pStyle w:val="Compact"/>
            </w:pPr>
            <w:r>
              <w:t xml:space="preserve">Despacho en cascada para urgencias (</w:t>
            </w:r>
            <w:r>
              <w:rPr>
                <w:b/>
                <w:bCs/>
              </w:rPr>
              <w:t xml:space="preserve">descartado el 26-08</w:t>
            </w:r>
            <w:r>
              <w:t xml:space="preserve">)</w:t>
            </w:r>
          </w:p>
        </w:tc>
        <w:tc>
          <w:tcPr/>
          <w:p>
            <w:pPr>
              <w:pStyle w:val="Compact"/>
            </w:pPr>
            <w:r>
              <w:t xml:space="preserve">Parte comercial</w:t>
            </w:r>
          </w:p>
        </w:tc>
      </w:tr>
      <w:tr>
        <w:tc>
          <w:tcPr/>
          <w:p>
            <w:pPr>
              <w:pStyle w:val="Compact"/>
            </w:pPr>
            <w:r>
              <w:t xml:space="preserve">3</w:t>
            </w:r>
          </w:p>
        </w:tc>
        <w:tc>
          <w:tcPr/>
          <w:p>
            <w:pPr>
              <w:pStyle w:val="Compact"/>
            </w:pPr>
            <w:r>
              <w:t xml:space="preserve">05-08</w:t>
            </w:r>
          </w:p>
        </w:tc>
        <w:tc>
          <w:tcPr/>
          <w:p>
            <w:pPr>
              <w:pStyle w:val="Compact"/>
            </w:pPr>
            <w:r>
              <w:t xml:space="preserve">El maestro declara el precio; comisiones sobre la tarifa base</w:t>
            </w:r>
          </w:p>
        </w:tc>
        <w:tc>
          <w:tcPr/>
          <w:p>
            <w:pPr>
              <w:pStyle w:val="Compact"/>
            </w:pPr>
            <w:r>
              <w:t xml:space="preserve">Parte comercial</w:t>
            </w:r>
          </w:p>
        </w:tc>
      </w:tr>
      <w:tr>
        <w:tc>
          <w:tcPr/>
          <w:p>
            <w:pPr>
              <w:pStyle w:val="Compact"/>
            </w:pPr>
            <w:r>
              <w:t xml:space="preserve">4</w:t>
            </w:r>
          </w:p>
        </w:tc>
        <w:tc>
          <w:tcPr/>
          <w:p>
            <w:pPr>
              <w:pStyle w:val="Compact"/>
            </w:pPr>
            <w:r>
              <w:t xml:space="preserve">08-08</w:t>
            </w:r>
          </w:p>
        </w:tc>
        <w:tc>
          <w:tcPr/>
          <w:p>
            <w:pPr>
              <w:pStyle w:val="Compact"/>
            </w:pPr>
            <w:r>
              <w:t xml:space="preserve">Primer hito (21-08) con asignación manual desde la torre</w:t>
            </w:r>
          </w:p>
        </w:tc>
        <w:tc>
          <w:tcPr/>
          <w:p>
            <w:pPr>
              <w:pStyle w:val="Compact"/>
            </w:pPr>
            <w:r>
              <w:t xml:space="preserve">Scrum Master y equipo; aceptado por el cliente</w:t>
            </w:r>
          </w:p>
        </w:tc>
      </w:tr>
      <w:tr>
        <w:tc>
          <w:tcPr/>
          <w:p>
            <w:pPr>
              <w:pStyle w:val="Compact"/>
            </w:pPr>
            <w:r>
              <w:t xml:space="preserve">5</w:t>
            </w:r>
          </w:p>
        </w:tc>
        <w:tc>
          <w:tcPr/>
          <w:p>
            <w:pPr>
              <w:pStyle w:val="Compact"/>
            </w:pPr>
            <w:r>
              <w:t xml:space="preserve">08-08</w:t>
            </w:r>
          </w:p>
        </w:tc>
        <w:tc>
          <w:tcPr/>
          <w:p>
            <w:pPr>
              <w:pStyle w:val="Compact"/>
            </w:pPr>
            <w:r>
              <w:t xml:space="preserve">Autenticación con correo y contraseña, como en el prototipo</w:t>
            </w:r>
          </w:p>
        </w:tc>
        <w:tc>
          <w:tcPr/>
          <w:p>
            <w:pPr>
              <w:pStyle w:val="Compact"/>
            </w:pPr>
            <w:r>
              <w:t xml:space="preserve">Equipo (desarrollo y diseño)</w:t>
            </w:r>
          </w:p>
        </w:tc>
      </w:tr>
      <w:tr>
        <w:tc>
          <w:tcPr/>
          <w:p>
            <w:pPr>
              <w:pStyle w:val="Compact"/>
            </w:pPr>
            <w:r>
              <w:t xml:space="preserve">6</w:t>
            </w:r>
          </w:p>
        </w:tc>
        <w:tc>
          <w:tcPr/>
          <w:p>
            <w:pPr>
              <w:pStyle w:val="Compact"/>
            </w:pPr>
            <w:r>
              <w:t xml:space="preserve">11-08</w:t>
            </w:r>
          </w:p>
        </w:tc>
        <w:tc>
          <w:tcPr/>
          <w:p>
            <w:pPr>
              <w:pStyle w:val="Compact"/>
            </w:pPr>
            <w:r>
              <w:t xml:space="preserve">Flujo en terreno de 11 a 14 pasos</w:t>
            </w:r>
          </w:p>
        </w:tc>
        <w:tc>
          <w:tcPr/>
          <w:p>
            <w:pPr>
              <w:pStyle w:val="Compact"/>
            </w:pPr>
            <w:r>
              <w:t xml:space="preserve">Parte comercial, con Tania Sáez</w:t>
            </w:r>
          </w:p>
        </w:tc>
      </w:tr>
      <w:tr>
        <w:tc>
          <w:tcPr/>
          <w:p>
            <w:pPr>
              <w:pStyle w:val="Compact"/>
            </w:pPr>
            <w:r>
              <w:t xml:space="preserve">7</w:t>
            </w:r>
          </w:p>
        </w:tc>
        <w:tc>
          <w:tcPr/>
          <w:p>
            <w:pPr>
              <w:pStyle w:val="Compact"/>
            </w:pPr>
            <w:r>
              <w:t xml:space="preserve">19-08</w:t>
            </w:r>
          </w:p>
        </w:tc>
        <w:tc>
          <w:tcPr/>
          <w:p>
            <w:pPr>
              <w:pStyle w:val="Compact"/>
            </w:pPr>
            <w:r>
              <w:t xml:space="preserve">Código de cierre de 3 dígitos ingresado por el maestro</w:t>
            </w:r>
          </w:p>
        </w:tc>
        <w:tc>
          <w:tcPr/>
          <w:p>
            <w:pPr>
              <w:pStyle w:val="Compact"/>
            </w:pPr>
            <w:r>
              <w:t xml:space="preserve">Parte comercial</w:t>
            </w:r>
          </w:p>
        </w:tc>
      </w:tr>
      <w:tr>
        <w:tc>
          <w:tcPr/>
          <w:p>
            <w:pPr>
              <w:pStyle w:val="Compact"/>
            </w:pPr>
            <w:r>
              <w:t xml:space="preserve">8</w:t>
            </w:r>
          </w:p>
        </w:tc>
        <w:tc>
          <w:tcPr/>
          <w:p>
            <w:pPr>
              <w:pStyle w:val="Compact"/>
            </w:pPr>
            <w:r>
              <w:t xml:space="preserve">26-08</w:t>
            </w:r>
          </w:p>
        </w:tc>
        <w:tc>
          <w:tcPr/>
          <w:p>
            <w:pPr>
              <w:pStyle w:val="Compact"/>
            </w:pPr>
            <w:r>
              <w:rPr>
                <w:b/>
                <w:bCs/>
              </w:rPr>
              <w:t xml:space="preserve">Publicación con multioferta</w:t>
            </w:r>
            <w:r>
              <w:t xml:space="preserve"> </w:t>
            </w:r>
            <w:r>
              <w:t xml:space="preserve">reemplaza a la cascada</w:t>
            </w:r>
          </w:p>
        </w:tc>
        <w:tc>
          <w:tcPr/>
          <w:p>
            <w:pPr>
              <w:pStyle w:val="Compact"/>
            </w:pPr>
            <w:r>
              <w:t xml:space="preserve">Parte comercial, con asesora legal y docente</w:t>
            </w:r>
          </w:p>
        </w:tc>
      </w:tr>
      <w:tr>
        <w:tc>
          <w:tcPr/>
          <w:p>
            <w:pPr>
              <w:pStyle w:val="Compact"/>
            </w:pPr>
            <w:r>
              <w:t xml:space="preserve">9</w:t>
            </w:r>
          </w:p>
        </w:tc>
        <w:tc>
          <w:tcPr/>
          <w:p>
            <w:pPr>
              <w:pStyle w:val="Compact"/>
            </w:pPr>
            <w:r>
              <w:t xml:space="preserve">03-09</w:t>
            </w:r>
          </w:p>
        </w:tc>
        <w:tc>
          <w:tcPr/>
          <w:p>
            <w:pPr>
              <w:pStyle w:val="Compact"/>
            </w:pPr>
            <w:r>
              <w:rPr>
                <w:b/>
                <w:bCs/>
              </w:rPr>
              <w:t xml:space="preserve">Cobro único después del diagnóstico en terreno</w:t>
            </w:r>
          </w:p>
        </w:tc>
        <w:tc>
          <w:tcPr/>
          <w:p>
            <w:pPr>
              <w:pStyle w:val="Compact"/>
            </w:pPr>
            <w:r>
              <w:t xml:space="preserve">Parte comercial</w:t>
            </w:r>
          </w:p>
        </w:tc>
      </w:tr>
      <w:tr>
        <w:tc>
          <w:tcPr/>
          <w:p>
            <w:pPr>
              <w:pStyle w:val="Compact"/>
            </w:pPr>
            <w:r>
              <w:t xml:space="preserve">10</w:t>
            </w:r>
          </w:p>
        </w:tc>
        <w:tc>
          <w:tcPr/>
          <w:p>
            <w:pPr>
              <w:pStyle w:val="Compact"/>
            </w:pPr>
            <w:r>
              <w:t xml:space="preserve">10-09</w:t>
            </w:r>
          </w:p>
        </w:tc>
        <w:tc>
          <w:tcPr/>
          <w:p>
            <w:pPr>
              <w:pStyle w:val="Compact"/>
            </w:pPr>
            <w:r>
              <w:t xml:space="preserve">Agentes de inteligencia artificial entran al MVP</w:t>
            </w:r>
          </w:p>
        </w:tc>
        <w:tc>
          <w:tcPr/>
          <w:p>
            <w:pPr>
              <w:pStyle w:val="Compact"/>
            </w:pPr>
            <w:r>
              <w:t xml:space="preserve">Parte comercial; forma técnica del Scrum Master</w:t>
            </w:r>
          </w:p>
        </w:tc>
      </w:tr>
      <w:tr>
        <w:tc>
          <w:tcPr/>
          <w:p>
            <w:pPr>
              <w:pStyle w:val="Compact"/>
            </w:pPr>
            <w:r>
              <w:t xml:space="preserve">11</w:t>
            </w:r>
          </w:p>
        </w:tc>
        <w:tc>
          <w:tcPr/>
          <w:p>
            <w:pPr>
              <w:pStyle w:val="Compact"/>
            </w:pPr>
            <w:r>
              <w:t xml:space="preserve">19-09 y 05-10</w:t>
            </w:r>
          </w:p>
        </w:tc>
        <w:tc>
          <w:tcPr/>
          <w:p>
            <w:pPr>
              <w:pStyle w:val="Compact"/>
            </w:pPr>
            <w:r>
              <w:t xml:space="preserve">Mapa del maestro solo durante el trayecto</w:t>
            </w:r>
          </w:p>
        </w:tc>
        <w:tc>
          <w:tcPr/>
          <w:p>
            <w:pPr>
              <w:pStyle w:val="Compact"/>
            </w:pPr>
            <w:r>
              <w:t xml:space="preserve">Equipo</w:t>
            </w:r>
          </w:p>
        </w:tc>
      </w:tr>
      <w:tr>
        <w:tc>
          <w:tcPr/>
          <w:p>
            <w:pPr>
              <w:pStyle w:val="Compact"/>
            </w:pPr>
            <w:r>
              <w:t xml:space="preserve">12</w:t>
            </w:r>
          </w:p>
        </w:tc>
        <w:tc>
          <w:tcPr/>
          <w:p>
            <w:pPr>
              <w:pStyle w:val="Compact"/>
            </w:pPr>
            <w:r>
              <w:t xml:space="preserve">25-09 y 01-10</w:t>
            </w:r>
          </w:p>
        </w:tc>
        <w:tc>
          <w:tcPr/>
          <w:p>
            <w:pPr>
              <w:pStyle w:val="Compact"/>
            </w:pPr>
            <w:r>
              <w:t xml:space="preserve">Verificación de identidad externa y licencia de gas por RUT</w:t>
            </w:r>
          </w:p>
        </w:tc>
        <w:tc>
          <w:tcPr/>
          <w:p>
            <w:pPr>
              <w:pStyle w:val="Compact"/>
            </w:pPr>
            <w:r>
              <w:t xml:space="preserve">Parte comercial; equipo</w:t>
            </w:r>
          </w:p>
        </w:tc>
      </w:tr>
      <w:tr>
        <w:tc>
          <w:tcPr/>
          <w:p>
            <w:pPr>
              <w:pStyle w:val="Compact"/>
            </w:pPr>
            <w:r>
              <w:t xml:space="preserve">13</w:t>
            </w:r>
          </w:p>
        </w:tc>
        <w:tc>
          <w:tcPr/>
          <w:p>
            <w:pPr>
              <w:pStyle w:val="Compact"/>
            </w:pPr>
            <w:r>
              <w:t xml:space="preserve">13-08, 30-09 y 01-10</w:t>
            </w:r>
          </w:p>
        </w:tc>
        <w:tc>
          <w:tcPr/>
          <w:p>
            <w:pPr>
              <w:pStyle w:val="Compact"/>
            </w:pPr>
            <w:r>
              <w:t xml:space="preserve">Mensajería, reglas de disputa y tablero de métricas</w:t>
            </w:r>
          </w:p>
        </w:tc>
        <w:tc>
          <w:tcPr/>
          <w:p>
            <w:pPr>
              <w:pStyle w:val="Compact"/>
            </w:pPr>
            <w:r>
              <w:t xml:space="preserve">Parte comercial; equipo</w:t>
            </w:r>
          </w:p>
        </w:tc>
      </w:tr>
      <w:tr>
        <w:tc>
          <w:tcPr/>
          <w:p>
            <w:pPr>
              <w:pStyle w:val="Compact"/>
            </w:pPr>
            <w:r>
              <w:t xml:space="preserve">14</w:t>
            </w:r>
          </w:p>
        </w:tc>
        <w:tc>
          <w:tcPr/>
          <w:p>
            <w:pPr>
              <w:pStyle w:val="Compact"/>
            </w:pPr>
            <w:r>
              <w:t xml:space="preserve">19-09</w:t>
            </w:r>
          </w:p>
        </w:tc>
        <w:tc>
          <w:tcPr/>
          <w:p>
            <w:pPr>
              <w:pStyle w:val="Compact"/>
            </w:pPr>
            <w:r>
              <w:t xml:space="preserve">Catálogo de oficios «Próximamente» renovado</w:t>
            </w:r>
          </w:p>
        </w:tc>
        <w:tc>
          <w:tcPr/>
          <w:p>
            <w:pPr>
              <w:pStyle w:val="Compact"/>
            </w:pPr>
            <w:r>
              <w:t xml:space="preserve">Scrum Master y equipo</w:t>
            </w:r>
          </w:p>
        </w:tc>
      </w:tr>
      <w:tr>
        <w:tc>
          <w:tcPr/>
          <w:p>
            <w:pPr>
              <w:pStyle w:val="Compact"/>
            </w:pPr>
            <w:r>
              <w:t xml:space="preserve">15</w:t>
            </w:r>
          </w:p>
        </w:tc>
        <w:tc>
          <w:tcPr/>
          <w:p>
            <w:pPr>
              <w:pStyle w:val="Compact"/>
            </w:pPr>
            <w:r>
              <w:t xml:space="preserve">05-10</w:t>
            </w:r>
          </w:p>
        </w:tc>
        <w:tc>
          <w:tcPr/>
          <w:p>
            <w:pPr>
              <w:pStyle w:val="Compact"/>
            </w:pPr>
            <w:r>
              <w:t xml:space="preserve">Nayareth Suárez se incorpora al desarrollo</w:t>
            </w:r>
          </w:p>
        </w:tc>
        <w:tc>
          <w:tcPr/>
          <w:p>
            <w:pPr>
              <w:pStyle w:val="Compact"/>
            </w:pPr>
            <w:r>
              <w:t xml:space="preserve">Scrum Master y equipo</w:t>
            </w:r>
          </w:p>
        </w:tc>
      </w:tr>
    </w:tbl>
    <w:bookmarkStart w:id="26" w:name="Xf4406179a1ea81549fab4c10b8946db2506c0f4"/>
    <w:p>
      <w:pPr>
        <w:pStyle w:val="Heading2"/>
      </w:pPr>
      <w:r>
        <w:t xml:space="preserve">3.1 Qué motivó cada cambio y qué impacto tuvo</w:t>
      </w:r>
    </w:p>
    <w:p>
      <w:pPr>
        <w:pStyle w:val="FirstParagraph"/>
      </w:pPr>
      <w:r>
        <w:rPr>
          <w:b/>
          <w:bCs/>
        </w:rPr>
        <w:t xml:space="preserve">1. Aprobación de registros en la torre (05-08).</w:t>
      </w:r>
      <w:r>
        <w:t xml:space="preserve"> </w:t>
      </w:r>
      <w:r>
        <w:t xml:space="preserve">El registro de clientes y maestros pasa por aprobación en la torre de control, con interruptor de auto-aprobación para pruebas. La torre se construye desde el Sprint 2, en paralelo al servidor, y las urgencias se atienden sin esperar revisión manual. Lo pidió la parte comercial en la reunión de definición; la mecánica la propuso el equipo. El objetivo era revisar cada cuenta sin impedir que alguien con la cerradura rota a las 02:00 contrate de inmediato. El impacto fue de 7 historias nuevas (26 puntos), y Tania Sáez tomó una vía continua de panel desde el Sprint 2, con sesión simulada hasta que existiera el acceso real.</w:t>
      </w:r>
    </w:p>
    <w:p>
      <w:pPr>
        <w:pStyle w:val="BodyText"/>
      </w:pPr>
      <w:r>
        <w:rPr>
          <w:b/>
          <w:bCs/>
        </w:rPr>
        <w:t xml:space="preserve">2. Despacho en cascada para urgencias (05-08).</w:t>
      </w:r>
      <w:r>
        <w:t xml:space="preserve"> </w:t>
      </w:r>
      <w:r>
        <w:t xml:space="preserve">El sistema ofrecería el trabajo a un maestro a la vez, el más cercano primero. Lo pidió la parte comercial en la reunión de definición, para garantizar un maestro rápido en urgencias sin que el cliente tuviera que elegir. Fue</w:t>
      </w:r>
      <w:r>
        <w:t xml:space="preserve"> </w:t>
      </w:r>
      <w:r>
        <w:rPr>
          <w:b/>
          <w:bCs/>
        </w:rPr>
        <w:t xml:space="preserve">descartado el 26-08</w:t>
      </w:r>
      <w:r>
        <w:t xml:space="preserve"> </w:t>
      </w:r>
      <w:r>
        <w:t xml:space="preserve">sin haberse construido: sus 5 historias (34 puntos), planificadas en el Sprint 5, se difirieron a los sprints 8 y 9 y se eliminaron al cambiar el modelo.</w:t>
      </w:r>
    </w:p>
    <w:p>
      <w:pPr>
        <w:pStyle w:val="BodyText"/>
      </w:pPr>
      <w:r>
        <w:rPr>
          <w:b/>
          <w:bCs/>
        </w:rPr>
        <w:t xml:space="preserve">3. Precio declarado por el maestro (05-08).</w:t>
      </w:r>
      <w:r>
        <w:t xml:space="preserve"> </w:t>
      </w:r>
      <w:r>
        <w:t xml:space="preserve">El precio deja de calcularse por reglas y pasa a declararlo el maestro al aceptar; aplica a los tres oficios. Las comisiones son 7,5 % programado y 11 % urgente al cliente, y 7,5 % al maestro, sobre la tarifa base. Lo pidió la parte comercial, y el alcance a los tres oficios se ratificó el mismo día. La razón es que un precio cerrado por reglas no funciona cuando el problema no se conoce hasta verlo. Se vaciaron 3 historias de precios (−18 puntos) y nacieron 3 de cotización (+15). Como contradice el objetivo inicial de</w:t>
      </w:r>
      <w:r>
        <w:t xml:space="preserve"> </w:t>
      </w:r>
      <w:r>
        <w:t xml:space="preserve">“precio cerrado en dos minutos”</w:t>
      </w:r>
      <w:r>
        <w:t xml:space="preserve">, se registró como cambio de alcance mayor.</w:t>
      </w:r>
    </w:p>
    <w:p>
      <w:pPr>
        <w:pStyle w:val="BodyText"/>
      </w:pPr>
      <w:r>
        <w:rPr>
          <w:b/>
          <w:bCs/>
        </w:rPr>
        <w:t xml:space="preserve">4. Primer hito con asignación manual (08-08).</w:t>
      </w:r>
      <w:r>
        <w:t xml:space="preserve"> </w:t>
      </w:r>
      <w:r>
        <w:t xml:space="preserve">El primer hito de demostración (21-08) se muestra con asignación manual desde la torre de control, no con despacho automático. El Scrum Master lo propuso, el equipo lo acordó y el cliente lo aceptó, porque el hito había quedado dependiendo de un motor de despacho de 21 puntos a 16 días de la fecha. Con esto el flujo del dinero se demuestra completo y el despacho sale del camino crítico. Aun así, el Sprint 3 quedó en 95 puntos frente a una capacidad de ~14.</w:t>
      </w:r>
    </w:p>
    <w:p>
      <w:pPr>
        <w:pStyle w:val="BodyText"/>
      </w:pPr>
      <w:r>
        <w:rPr>
          <w:b/>
          <w:bCs/>
        </w:rPr>
        <w:t xml:space="preserve">5. Autenticación con correo y contraseña (08-08).</w:t>
      </w:r>
      <w:r>
        <w:t xml:space="preserve"> </w:t>
      </w:r>
      <w:r>
        <w:t xml:space="preserve">Se adopta la autenticación como la dibuja el prototipo; la verificación del canal de contacto queda aparte, en el registro. Lo decidió el equipo (desarrollo y diseño) sobre el prototipo. El bloqueo llevaba abierto desde el inicio porque se confundían dos cosas: cómo se accede y cómo se comprueba el canal. La decisión desbloqueó la fase de cuentas y el acceso real del panel en el Sprint 3, sin puntos nuevos.</w:t>
      </w:r>
    </w:p>
    <w:p>
      <w:pPr>
        <w:pStyle w:val="BodyText"/>
      </w:pPr>
      <w:r>
        <w:rPr>
          <w:b/>
          <w:bCs/>
        </w:rPr>
        <w:t xml:space="preserve">6. Flujo en terreno de 14 pasos (11-08).</w:t>
      </w:r>
      <w:r>
        <w:t xml:space="preserve"> </w:t>
      </w:r>
      <w:r>
        <w:t xml:space="preserve">El flujo en terreno pasa de 11 a 14 pasos: el maestro pide aprobación para iniciar con fotografía del problema, puede reajustar la tarifa al ver el trabajo y declarar gastos imprevistos; cada aumento lo aprueba el cliente. Lo pidió la parte comercial en reunión con Tania Sáez, porque el tramo entre la llegada y el cierre nunca se había detallado y en gasfitería y cerrajería el precio no es firme hasta ver el problema. Sumó 6 requerimientos nuevos, y ocho vacíos de regla se cerraron el 13-08 como parámetros configurables. Nada construido se rehízo.</w:t>
      </w:r>
    </w:p>
    <w:p>
      <w:pPr>
        <w:pStyle w:val="BodyText"/>
      </w:pPr>
      <w:r>
        <w:rPr>
          <w:b/>
          <w:bCs/>
        </w:rPr>
        <w:t xml:space="preserve">7. Código de cierre en manos del maestro (19-08).</w:t>
      </w:r>
      <w:r>
        <w:t xml:space="preserve"> </w:t>
      </w:r>
      <w:r>
        <w:t xml:space="preserve">El código de cierre de 3 dígitos lo ingresa el maestro en su app; al cliente se le muestra. La verificación de canal es por correo, sin SMS. Lo pidió la parte comercial, porque prueba mejor que las dos partes están en la puerta. Cambió el actor de la última transición y agregó una pantalla al maestro; el código sigue siendo el único acto que libera el pago.</w:t>
      </w:r>
    </w:p>
    <w:p>
      <w:pPr>
        <w:pStyle w:val="BodyText"/>
      </w:pPr>
      <w:r>
        <w:rPr>
          <w:b/>
          <w:bCs/>
        </w:rPr>
        <w:t xml:space="preserve">8. Publicación con multioferta (26-08).</w:t>
      </w:r>
      <w:r>
        <w:t xml:space="preserve"> </w:t>
      </w:r>
      <w:r>
        <w:t xml:space="preserve">Reemplaza a la cascada: la solicitud se publica, los maestros ofertan y el cliente elige viendo precio, calificación e historial. Se fijaron cinco principios: la plataforma no asigna, no prioriza, no sugiere precio, no sanciona el silencio y no gestiona la jornada. Lo pidió la parte comercial, con validación de la asesora legal y considerando las observaciones del docente. Los motivos fueron el marco legal (la ley de plataformas digitales regula a quien asigna trabajo y excluye a quien solo publica), la viabilidad académica tras las observaciones del docente y el atractivo para el cliente. La cascada se descartó y nació una fase de difusión completa, más evaluaciones bidireccionales y bloqueo por mal uso. Costó una semana (22 al 29-08) de rediseño sin código nuevo. La sección 4 lo explica en detalle.</w:t>
      </w:r>
    </w:p>
    <w:p>
      <w:pPr>
        <w:pStyle w:val="BodyText"/>
      </w:pPr>
      <w:r>
        <w:rPr>
          <w:b/>
          <w:bCs/>
        </w:rPr>
        <w:t xml:space="preserve">9. Cobro único después del diagnóstico en terreno (03-09).</w:t>
      </w:r>
      <w:r>
        <w:t xml:space="preserve"> </w:t>
      </w:r>
      <w:r>
        <w:t xml:space="preserve">Elegir una oferta agenda y no cobra; el maestro cotiza en terreno, el cliente acepta y se cobra el total en custodia. La oferta lleva tarifa de visita y se exige tarjeta registrada antes de la primera solicitud. La cancelación es sin costo antes de</w:t>
      </w:r>
      <w:r>
        <w:t xml:space="preserve"> </w:t>
      </w:r>
      <w:r>
        <w:t xml:space="preserve">“voy en camino”</w:t>
      </w:r>
      <w:r>
        <w:t xml:space="preserve">; después, rechazar la cotización paga la visita. Lo pidió la parte comercial, porque el precio no se conoce antes de que alguien vaya a mirar y cobrar por partes entrega el margen a la pasarela. Fue la</w:t>
      </w:r>
      <w:r>
        <w:t xml:space="preserve"> </w:t>
      </w:r>
      <w:r>
        <w:rPr>
          <w:b/>
          <w:bCs/>
        </w:rPr>
        <w:t xml:space="preserve">primera vez que se rehizo trabajo construido</w:t>
      </w:r>
      <w:r>
        <w:t xml:space="preserve">: la restricción de transición de estados y el adaptador de pagos. Dos tareas de cargos múltiples se eliminaron, las pantallas de ofertas y terreno de la app se rehicieron y se sumaron 6 requerimientos nuevos.</w:t>
      </w:r>
    </w:p>
    <w:p>
      <w:pPr>
        <w:pStyle w:val="BodyText"/>
      </w:pPr>
      <w:r>
        <w:rPr>
          <w:b/>
          <w:bCs/>
        </w:rPr>
        <w:t xml:space="preserve">10. Agentes de inteligencia artificial en el MVP (10-09).</w:t>
      </w:r>
      <w:r>
        <w:t xml:space="preserve"> </w:t>
      </w:r>
      <w:r>
        <w:t xml:space="preserve">Entran al MVP, cuando antes estaban fuera del alcance: soporte desde la app, lectura automática de comprobantes de gastos y filtro de datos de contacto en la solicitud. Lo pidió la parte comercial y la forma técnica la definió el Scrum Master. El propósito es reducir la carga de soporte manual y evitar que las partes se contacten fuera de la plataforma. Sumó 3 requerimientos y 3 unidades nuevas; el agente arranca apagado hasta que la parte comercial cargue presupuesto, y la revisión de protección de datos quedó pendiente de la asesora legal.</w:t>
      </w:r>
    </w:p>
    <w:p>
      <w:pPr>
        <w:pStyle w:val="BodyText"/>
      </w:pPr>
      <w:r>
        <w:rPr>
          <w:b/>
          <w:bCs/>
        </w:rPr>
        <w:t xml:space="preserve">11. Mapa del maestro en camino (19-09 y 05-10).</w:t>
      </w:r>
      <w:r>
        <w:t xml:space="preserve"> </w:t>
      </w:r>
      <w:r>
        <w:t xml:space="preserve">El mapa se muestra solo durante el trayecto, de</w:t>
      </w:r>
      <w:r>
        <w:t xml:space="preserve"> </w:t>
      </w:r>
      <w:r>
        <w:t xml:space="preserve">“voy en camino”</w:t>
      </w:r>
      <w:r>
        <w:t xml:space="preserve"> </w:t>
      </w:r>
      <w:r>
        <w:t xml:space="preserve">a</w:t>
      </w:r>
      <w:r>
        <w:t xml:space="preserve"> </w:t>
      </w:r>
      <w:r>
        <w:t xml:space="preserve">“llegué”</w:t>
      </w:r>
      <w:r>
        <w:t xml:space="preserve">; el servidor guarda la última posición y la borra al llegar. Lo propuso el equipo a partir del prototipo y de pruebas con dos cuentas, para dar al cliente lo que espera de una app de reparto sin rastreo permanente. La unidad de mapas entró a la reserva del Sprint 7 y se construyó el 5 y 6 de octubre.</w:t>
      </w:r>
    </w:p>
    <w:p>
      <w:pPr>
        <w:pStyle w:val="BodyText"/>
      </w:pPr>
      <w:r>
        <w:rPr>
          <w:b/>
          <w:bCs/>
        </w:rPr>
        <w:t xml:space="preserve">12. Verificación de identidad y licencia de gas (25-09 y 01-10).</w:t>
      </w:r>
      <w:r>
        <w:t xml:space="preserve"> </w:t>
      </w:r>
      <w:r>
        <w:t xml:space="preserve">La verificación de identidad y antecedentes se hará mediante un proveedor externo; la licencia de instalador de gas se valida desde el servidor consultando por RUT el registro público del regulador. La certificación que exige cada oficio queda como dato. El proveedor lo pidió la parte comercial y la validación por RUT la propuso el equipo, para dar sustento real al Sello RELWO sin que el maestro suba certificados. La validación por RUT se construyó el 01-10; la integración con el proveedor quedó en espera del contrato con el proveedor de verificación de identidad y pasó a la contingencia.</w:t>
      </w:r>
    </w:p>
    <w:p>
      <w:pPr>
        <w:pStyle w:val="BodyText"/>
      </w:pPr>
      <w:r>
        <w:rPr>
          <w:b/>
          <w:bCs/>
        </w:rPr>
        <w:t xml:space="preserve">13. Mensajería, disputas y tablero de métricas (13-08, 30-09 y 01-10).</w:t>
      </w:r>
      <w:r>
        <w:t xml:space="preserve"> </w:t>
      </w:r>
      <w:r>
        <w:t xml:space="preserve">Se agrega mensajería entre cliente y maestro desde que el servicio se agenda hasta su cierre; reglas de disputa (48 horas hábiles de plazo, disputa hasta 7 días después del cierre, reembolso parcial deja el servicio completado); y un tablero gráfico de métricas para la parte comercial. La mensajería y el tablero los pidió la parte comercial; las reglas de disputa, el equipo. Los motivos fueron mantener a los usuarios dentro de la app y cerrar las preguntas abiertas de las disputas; el tablero era la instrucción original del cliente y se había perdido entre sesiones. La fase de mensajería existe desde el Sprint 4 y las unidades de disputas y métricas entraron en el Sprint 7.</w:t>
      </w:r>
    </w:p>
    <w:p>
      <w:pPr>
        <w:pStyle w:val="BodyText"/>
      </w:pPr>
      <w:r>
        <w:rPr>
          <w:b/>
          <w:bCs/>
        </w:rPr>
        <w:t xml:space="preserve">14. Catálogo «Próximamente» (19-09).</w:t>
      </w:r>
      <w:r>
        <w:t xml:space="preserve"> </w:t>
      </w:r>
      <w:r>
        <w:t xml:space="preserve">Salen Armado de muebles y Modista, entran Baby sitter y Profesor particular; tocar un oficio futuro registra un interés retirable, sin aviso de disponibilidad. El Scrum Master lo propuso y el equipo lo acordó, para alinear el catálogo con los oficios que el cliente sí piensa operar y medir demanda futura. Requirió una migración de datos; el aviso de</w:t>
      </w:r>
      <w:r>
        <w:t xml:space="preserve"> </w:t>
      </w:r>
      <w:r>
        <w:t xml:space="preserve">“ya está disponible”</w:t>
      </w:r>
      <w:r>
        <w:t xml:space="preserve"> </w:t>
      </w:r>
      <w:r>
        <w:t xml:space="preserve">queda fuera del MVP.</w:t>
      </w:r>
    </w:p>
    <w:p>
      <w:pPr>
        <w:pStyle w:val="BodyText"/>
      </w:pPr>
      <w:r>
        <w:rPr>
          <w:b/>
          <w:bCs/>
        </w:rPr>
        <w:t xml:space="preserve">15. Incorporación de Nayareth Suárez al desarrollo (05-10).</w:t>
      </w:r>
      <w:r>
        <w:t xml:space="preserve"> </w:t>
      </w:r>
      <w:r>
        <w:t xml:space="preserve">Se incorpora con el tablero de métricas (servidor y panel), que sale de las unidades de Tania Sáez. El Scrum Master lo propuso y el equipo lo acordó, para repartir la carga del Sprint 7 y sumar capacidad real. El compromiso de Tania bajó de 23 a 15 puntos, Nayareth tomó 8 y el sprint se mantuvo en 71. Tania sigue como autoridad visual; el Scrum Master revisa e integra.</w:t>
      </w:r>
    </w:p>
    <w:p>
      <w:r>
        <w:br w:type="page"/>
      </w:r>
    </w:p>
    <w:bookmarkEnd w:id="26"/>
    <w:bookmarkEnd w:id="27"/>
    <w:bookmarkStart w:id="28" w:name="el-cambio-más-grande-explicado"/>
    <w:p>
      <w:pPr>
        <w:pStyle w:val="Heading1"/>
      </w:pPr>
      <w:r>
        <w:t xml:space="preserve">4. El cambio más grande, explicado</w:t>
      </w:r>
    </w:p>
    <w:p>
      <w:pPr>
        <w:pStyle w:val="FirstParagraph"/>
      </w:pPr>
      <w:r>
        <w:t xml:space="preserve">El 5 de agosto, al partir el desarrollo, RELWO era un marketplace con precio calculado. El cliente describía su problema en un formulario estructurado, el servidor calculaba un precio cerrado por reglas, el cliente pagaba en custodia y el sistema asignaba un maestro. Para las urgencias se diseñó el despacho en cascada: una cola ordenada por cercanía, una oferta a la vez, un minuto para responder y el siguiente de la lista ante silencio o rechazo. La promesa era</w:t>
      </w:r>
      <w:r>
        <w:t xml:space="preserve"> </w:t>
      </w:r>
      <w:r>
        <w:t xml:space="preserve">“precio cerrado en menos de dos minutos”</w:t>
      </w:r>
      <w:r>
        <w:t xml:space="preserve">.</w:t>
      </w:r>
    </w:p>
    <w:p>
      <w:pPr>
        <w:pStyle w:val="BodyText"/>
      </w:pPr>
      <w:r>
        <w:t xml:space="preserve">Ese modelo se desarmó en tres pasos, cada uno registrado con su fecha. El primero fue el mismo 5 de agosto: el cliente decidió que el maestro declara el precio, para los tres oficios. Con ello murió el precio calculado por reglas: el servidor ya no origina el valor, solo aplica comisiones y recargos sobre lo que el maestro cotiza. El segundo fue el 26 de agosto: la cascada se descartó antes de construirse. La razón de peso fue legal: una plataforma que elige a quién ofrece el trabajo se parece a una empresa que organiza y asigna trabajo, que es lo que regula la ley de plataformas digitales; una que publica anuncios y deja que el cliente elija está excluida de esa regulación. Se sumaron las observaciones del docente sobre la viabilidad del proyecto y el atractivo comercial de elegir entre ofertas con precio y calificación a la vista. El tercero fue el 3 de septiembre: elegir una oferta agenda pero no cobra; el maestro va, diagnostica, cotiza el monto final, el cliente lo acepta y recién ahí hay un único cobro en custodia. Si el cliente no acepta, paga solo la tarifa de visita declarada en la oferta.</w:t>
      </w:r>
    </w:p>
    <w:p>
      <w:pPr>
        <w:pStyle w:val="BodyText"/>
      </w:pPr>
      <w:r>
        <w:t xml:space="preserve">El resultado es una plataforma distinta de la inicial: el cliente publica, los maestros ofertan, el cliente elige sin pagar, el maestro cotiza en terreno y hay un solo cobro, que queda en custodia hasta que el maestro ingresa el código de cierre. Lo que no cambió: el pago en custodia, el código de cierre como único acto que libera el dinero, la torre de control como lugar donde se resuelven cuentas, disputas y parámetros, y el cálculo de montos solo en el servidor.</w:t>
      </w:r>
    </w:p>
    <w:p>
      <w:pPr>
        <w:pStyle w:val="BodyText"/>
      </w:pPr>
      <w:r>
        <w:t xml:space="preserve">¿Qué hubo que rehacer? Menos de lo que el tamaño del cambio sugiere. El despacho en cascada nunca se construyó: se planificó, se difirió para proteger el primer hito y se descartó antes de escribir una línea. Los ocho estados no cambiaron de nombre ni de cantidad, porque el despacho, las ofertas y la aprobación en terreno siempre se modelaron como entidades aparte; solo cambió el orden entre la confirmación y el pago en custodia. La fase en terreno de 14 pasos, acordada el 11 de agosto, sobrevivió completa. Y el adaptador de pagos se construyó desde el principio detrás de una interfaz con doble de prueba, así que cambiar cuándo y cuántas veces se cobra tocó una pieza acotada.</w:t>
      </w:r>
    </w:p>
    <w:p>
      <w:pPr>
        <w:pStyle w:val="BodyText"/>
      </w:pPr>
      <w:r>
        <w:t xml:space="preserve">Lo que sí se rehízo, por primera y única vez en el proyecto, fue consecuencia del cobro único: la restricción de transición entre estados en la base de datos, que fijaba el orden antiguo; el adaptador de pagos y su doble de prueba, que ahora disparan la custodia al aceptar el monto en terreno y suman un cargo directo para la visita; y las pantallas de ofertas en vivo y de terreno de la app. Dos tareas de cargos múltiples y la pantalla del panel que atendía el rechazo del banco a un cargo adicional dejaron de existir. Se declaró en el registro el mismo día para que entrara a la planificación del Sprint 5.</w:t>
      </w:r>
    </w:p>
    <w:bookmarkEnd w:id="28"/>
    <w:bookmarkStart w:id="32" w:name="impacto-en-la-capacidad-y-en-el-plan"/>
    <w:p>
      <w:pPr>
        <w:pStyle w:val="Heading1"/>
      </w:pPr>
      <w:r>
        <w:t xml:space="preserve">5. Impacto en la capacidad y en el plan</w:t>
      </w:r>
    </w:p>
    <w:bookmarkStart w:id="29" w:name="la-brecha-detectada-el-5-de-agosto"/>
    <w:p>
      <w:pPr>
        <w:pStyle w:val="Heading2"/>
      </w:pPr>
      <w:r>
        <w:t xml:space="preserve">5.1 La brecha detectada el 5 de agosto</w:t>
      </w:r>
    </w:p>
    <w:p>
      <w:pPr>
        <w:pStyle w:val="FirstParagraph"/>
      </w:pPr>
      <w:r>
        <w:t xml:space="preserve">El plan inicial tenía nueve sprints de una semana, del 3 de agosto al 2 de octubre, con 420 puntos y una capacidad declarada de unos 22 puntos semanales para el equipo. Las decisiones del 5 de agosto sumaron 78 puntos y la carga subió a 498, un 19 % más sobre un plan que ya no cerraba. La segunda ronda del mismo día vació 18 puntos y sumó 85; el total quedó en 487.</w:t>
      </w:r>
    </w:p>
    <w:p>
      <w:pPr>
        <w:pStyle w:val="BodyText"/>
      </w:pPr>
      <w:r>
        <w:t xml:space="preserve">La cifra agregada escondía el problema real. Repartida por persona, la línea de Tania Sáez era manejable: entre 3 y 18 puntos por sprint frente a una capacidad de unos 8. La de Mauricio Poblete iba entre 43 y 79 puntos por sprint frente a unos 14: entre 3 y 5,5 veces su capacidad, todas las semanas del Sprint 2 al 7. El Sprint 3, el del primer hito, llegó a 116 puntos para una sola persona, 95 si el hito se demostraba con asignación manual. Trabajar en paralelo no descargaba el cuello de botella: servidor, app y nube estaban en la misma persona.</w:t>
      </w:r>
    </w:p>
    <w:bookmarkEnd w:id="29"/>
    <w:bookmarkStart w:id="30" w:name="opciones-evaluadas"/>
    <w:p>
      <w:pPr>
        <w:pStyle w:val="Heading2"/>
      </w:pPr>
      <w:r>
        <w:t xml:space="preserve">5.2 Opciones evaluadas</w:t>
      </w:r>
    </w:p>
    <w:p>
      <w:pPr>
        <w:pStyle w:val="FirstParagraph"/>
      </w:pPr>
      <w:r>
        <w:t xml:space="preserve">Se presentaron al cliente cuatro salidas en la misma semana: (a) sacar cerrajería y el motor de despacho del piloto y construirlos en los sprints 8 y 9, casi vacíos, atendiendo las urgencias por asignación manual mientras tanto; (b) reducir el alcance del segundo hito de demostración; (c) mover las fechas de los hitos; (d) sumar capacidad de desarrollo de servidor. Ninguna por sí sola cerraba la brecha del Sprint 3.</w:t>
      </w:r>
    </w:p>
    <w:bookmarkEnd w:id="30"/>
    <w:bookmarkStart w:id="31" w:name="lo-que-se-decidió"/>
    <w:p>
      <w:pPr>
        <w:pStyle w:val="Heading2"/>
      </w:pPr>
      <w:r>
        <w:t xml:space="preserve">5.3 Lo que se decidió</w:t>
      </w:r>
    </w:p>
    <w:p>
      <w:pPr>
        <w:pStyle w:val="FirstParagraph"/>
      </w:pPr>
      <w:r>
        <w:rPr>
          <w:b/>
          <w:bCs/>
        </w:rPr>
        <w:t xml:space="preserve">Demostrar el primer hito con asignación manual.</w:t>
      </w:r>
      <w:r>
        <w:t xml:space="preserve"> </w:t>
      </w:r>
      <w:r>
        <w:t xml:space="preserve">El 8 de agosto se acordó que el hito del 21 de agosto mostraría el flujo completo del dinero con la torre de control asignando al maestro. No fue una rebaja: la asignación manual ya estaba comprometida como respaldo, y el despacho automático era el mecanismo para llegar al maestro, no el flujo del dinero.</w:t>
      </w:r>
    </w:p>
    <w:p>
      <w:pPr>
        <w:pStyle w:val="BodyText"/>
      </w:pPr>
      <w:r>
        <w:rPr>
          <w:b/>
          <w:bCs/>
        </w:rPr>
        <w:t xml:space="preserve">Alargar los sprints.</w:t>
      </w:r>
      <w:r>
        <w:t xml:space="preserve"> </w:t>
      </w:r>
      <w:r>
        <w:t xml:space="preserve">Pasaron de una a dos semanas. Siete sprints están cerrados; el Sprint 8 corre del 19 al 30 de octubre y el Sprint 9 del 2 al 13 de noviembre. El cliente lo aceptó en cada hito de demostración.</w:t>
      </w:r>
    </w:p>
    <w:p>
      <w:pPr>
        <w:pStyle w:val="BodyText"/>
      </w:pPr>
      <w:r>
        <w:rPr>
          <w:b/>
          <w:bCs/>
        </w:rPr>
        <w:t xml:space="preserve">Repartir unidades acotadas.</w:t>
      </w:r>
      <w:r>
        <w:t xml:space="preserve"> </w:t>
      </w:r>
      <w:r>
        <w:t xml:space="preserve">La torre de control se adelantó al Sprint 2 como vía continua de Tania Sáez. Desde el 5 de octubre Nayareth Suárez tomó el tablero de métricas y encargos acotados del panel. Cada unidad se definió con la interfaz del servidor publicada antes, para trabajar en paralelo sin bloqueos.</w:t>
      </w:r>
    </w:p>
    <w:p>
      <w:pPr>
        <w:pStyle w:val="BodyText"/>
      </w:pPr>
      <w:r>
        <w:rPr>
          <w:b/>
          <w:bCs/>
        </w:rPr>
        <w:t xml:space="preserve">Reservar el Sprint 9 para lo que depende de terceros.</w:t>
      </w:r>
      <w:r>
        <w:t xml:space="preserve"> </w:t>
      </w:r>
      <w:r>
        <w:t xml:space="preserve">La pasarela de pago, la verificación de identidad con el proveedor externo y el canal telefónico dependen de respuestas que no controla el equipo. Se concentraron en un sprint de contingencia con fecha, y el MVP se demuestra mientras tanto con emulación de pago y revisión manual de documentos.</w:t>
      </w:r>
    </w:p>
    <w:p>
      <w:pPr>
        <w:pStyle w:val="BodyText"/>
      </w:pPr>
      <w:r>
        <w:t xml:space="preserve">Al cierre del Sprint 7 el compromiso fue de 71 puntos para tres personas, frente a los 75 que el plan de agosto asignaba a una sola. El Sprint 8 está en curso y no tiene acta ni retrospectiva todavía.</w:t>
      </w:r>
    </w:p>
    <w:p>
      <w:r>
        <w:br w:type="page"/>
      </w:r>
    </w:p>
    <w:bookmarkEnd w:id="31"/>
    <w:bookmarkEnd w:id="32"/>
    <w:bookmarkStart w:id="33" w:name="Xfb12279d4e8ffe3e96f836c7f4400972b326492"/>
    <w:p>
      <w:pPr>
        <w:pStyle w:val="Heading1"/>
      </w:pPr>
      <w:r>
        <w:t xml:space="preserve">6. Bloqueos y decisiones pendientes de terceros</w:t>
      </w:r>
    </w:p>
    <w:p>
      <w:pPr>
        <w:pStyle w:val="FirstParagraph"/>
      </w:pPr>
      <w:r>
        <w:t xml:space="preserve">El 13 de agosto no quedaba ningún bloqueo de producto abierto, porque las cifras sin definir pasaron a ser parámetros configurables. Los que siguen abiertos al 19 de octubre dependen de terceros, y por eso se agruparon en el Sprint 9 de contingencia.</w:t>
      </w:r>
    </w:p>
    <w:p>
      <w:pPr>
        <w:pStyle w:val="BodyText"/>
      </w:pPr>
      <w:r>
        <w:rPr>
          <w:b/>
          <w:bCs/>
        </w:rPr>
        <w:t xml:space="preserve">Evaluación comercial de la pasarela de pago.</w:t>
      </w:r>
      <w:r>
        <w:t xml:space="preserve"> </w:t>
      </w:r>
      <w:r>
        <w:t xml:space="preserve">Depende de la parte comercial. Está en evaluación desde el 13-08, y la respuesta se pidió por escrito el 30-09 para el 09-10. Al 19-10-2026 no hay respuesta registrada. El MVP opera con emulación de pago; de la respuesta dependen el adaptador real y el cobro desde la app. Si no llega, la integración queda en el Sprint 9.</w:t>
      </w:r>
    </w:p>
    <w:p>
      <w:pPr>
        <w:pStyle w:val="BodyText"/>
      </w:pPr>
      <w:r>
        <w:rPr>
          <w:b/>
          <w:bCs/>
        </w:rPr>
        <w:t xml:space="preserve">Contrato con el proveedor de verificación de identidad.</w:t>
      </w:r>
      <w:r>
        <w:t xml:space="preserve"> </w:t>
      </w:r>
      <w:r>
        <w:t xml:space="preserve">Depende de la parte comercial. Hubo una reunión técnica el 29-09; el acceso al entorno de pruebas y a la documentación llega cuando la parte comercial cierre el contrato con el proveedor de verificación de identidad, pedido para el 09-10. Al 19-10-2026 sigue en espera. La pantalla y el punto de extensión existen y las cuentas se revisan a mano desde la torre de control. Si no hay acuerdo, la integración pasa al Sprint 9.</w:t>
      </w:r>
    </w:p>
    <w:p>
      <w:pPr>
        <w:pStyle w:val="BodyText"/>
      </w:pPr>
      <w:r>
        <w:rPr>
          <w:b/>
          <w:bCs/>
        </w:rPr>
        <w:t xml:space="preserve">Pronunciamiento de la asesora legal sobre protección de datos personales.</w:t>
      </w:r>
      <w:r>
        <w:t xml:space="preserve"> </w:t>
      </w:r>
      <w:r>
        <w:t xml:space="preserve">Abarca la imagen de la cédula, la señal de acuerdo fuera de la plataforma, los términos y el consentimiento, la reverificación, la descarga y eliminación de datos, y los datos que se enviarían al proveedor de IA. Depende de la asesora legal y está pendiente desde el 30-09, pedido para el 09-10. El 03-09 la asesora indicó avanzar con normalidad y revisar después, por lo que ninguna construcción se detuvo; el agente de IA no corre contra ningún proveedor real mientras tanto.</w:t>
      </w:r>
    </w:p>
    <w:p>
      <w:pPr>
        <w:pStyle w:val="BodyText"/>
      </w:pPr>
      <w:r>
        <w:rPr>
          <w:b/>
          <w:bCs/>
        </w:rPr>
        <w:t xml:space="preserve">Canal telefónico (SMS y mensajería instantánea) para avisos del flujo.</w:t>
      </w:r>
      <w:r>
        <w:t xml:space="preserve"> </w:t>
      </w:r>
      <w:r>
        <w:t xml:space="preserve">Depende del proveedor de mensajería (aprobación de plantillas) y del equipo (integración). El proveedor se eligió el 30-09; la unidad entró a la reserva del Sprint 7 y no se construyó en él. El canal no está disponible para el usuario; los avisos salen por correo y notificaciones de la app.</w:t>
      </w:r>
    </w:p>
    <w:bookmarkEnd w:id="33"/>
    <w:bookmarkStart w:id="34" w:name="X5a38678753a834390c6e96328b0ea9d45b0aa50"/>
    <w:p>
      <w:pPr>
        <w:pStyle w:val="Heading1"/>
      </w:pPr>
      <w:r>
        <w:t xml:space="preserve">7. Lecciones aprendidas sobre el control del alcance</w:t>
      </w:r>
    </w:p>
    <w:p>
      <w:pPr>
        <w:pStyle w:val="FirstParagraph"/>
      </w:pPr>
      <w:r>
        <w:rPr>
          <w:b/>
          <w:bCs/>
        </w:rPr>
        <w:t xml:space="preserve">Los cambios tempranos costaron poco.</w:t>
      </w:r>
      <w:r>
        <w:t xml:space="preserve"> </w:t>
      </w:r>
      <w:r>
        <w:t xml:space="preserve">Las decisiones del 5 al 13 de agosto reescribieron el modelo de precios, el flujo en terreno y la aprobación de cuentas sin obligar a rehacer nada, porque llegaron antes de construir y porque los estados, el adaptador de pagos y las entidades de despacho se diseñaron para absorber cambios. El único trabajo rehecho vino de una decisión de septiembre, cuando ya había código detrás.</w:t>
      </w:r>
    </w:p>
    <w:p>
      <w:pPr>
        <w:pStyle w:val="BodyText"/>
      </w:pPr>
      <w:r>
        <w:rPr>
          <w:b/>
          <w:bCs/>
        </w:rPr>
        <w:t xml:space="preserve">El costo real fue la semana sin código.</w:t>
      </w:r>
      <w:r>
        <w:t xml:space="preserve"> </w:t>
      </w:r>
      <w:r>
        <w:t xml:space="preserve">Entre el 22 y el 29 de agosto el equipo se dedicó a rediseñar el flujo de solicitud, documentarlo, validarlo con la asesora legal y presentarlo al cliente. En un plan medido en semanas, una semana sin incremento pesa más que cualquier historia rehecha. Si la pregunta legal se hubiera hecho en julio, ese costo no habría existido.</w:t>
      </w:r>
    </w:p>
    <w:p>
      <w:pPr>
        <w:pStyle w:val="BodyText"/>
      </w:pPr>
      <w:r>
        <w:rPr>
          <w:b/>
          <w:bCs/>
        </w:rPr>
        <w:t xml:space="preserve">Dejar por escrito cada cambio evitó discusiones.</w:t>
      </w:r>
      <w:r>
        <w:t xml:space="preserve"> </w:t>
      </w:r>
      <w:r>
        <w:t xml:space="preserve">Cuando una decisión reemplazaba a otra, la anterior quedaba con su fecha y una nota de reemplazo. En más de una revisión con el cliente, lo que zanjó una duda fue leer qué se había acordado, cuándo y por qué.</w:t>
      </w:r>
    </w:p>
    <w:p>
      <w:pPr>
        <w:pStyle w:val="BodyText"/>
      </w:pPr>
      <w:r>
        <w:rPr>
          <w:b/>
          <w:bCs/>
        </w:rPr>
        <w:t xml:space="preserve">Un solo revisor fue el cuello de botella.</w:t>
      </w:r>
      <w:r>
        <w:t xml:space="preserve"> </w:t>
      </w:r>
      <w:r>
        <w:t xml:space="preserve">Todo cambio pasó por la revisión del Scrum Master, y eso mantuvo coherente el sistema. Pero concentrar servidor, app, nube y revisión en una persona hizo que la capacidad del equipo fuera, en la práctica, la de esa persona durante los sprints 2 al 6. Incorporar a Nayareth al desarrollo en octubre ayudó; debió ocurrir en agosto.</w:t>
      </w:r>
    </w:p>
    <w:p>
      <w:pPr>
        <w:pStyle w:val="BodyText"/>
      </w:pPr>
      <w:r>
        <w:rPr>
          <w:b/>
          <w:bCs/>
        </w:rPr>
        <w:t xml:space="preserve">Registrar las decisiones el mismo día.</w:t>
      </w:r>
      <w:r>
        <w:t xml:space="preserve"> </w:t>
      </w:r>
      <w:r>
        <w:t xml:space="preserve">Las pocas veces que una decisión se anotó días después aparecieron contradicciones entre documentos —el disparador del cobro quedó escrito de dos formas durante una semana— y corregirlas costó más que registrarlas a tiempo.</w:t>
      </w:r>
    </w:p>
    <w:p>
      <w:pPr>
        <w:pStyle w:val="BodyText"/>
      </w:pPr>
      <w:r>
        <w:rPr>
          <w:b/>
          <w:bCs/>
        </w:rPr>
        <w:t xml:space="preserve">Convertir cifras pendientes en parámetros destrabó al equipo.</w:t>
      </w:r>
      <w:r>
        <w:t xml:space="preserve"> </w:t>
      </w:r>
      <w:r>
        <w:t xml:space="preserve">Diez cifras comerciales sin definir dejaron de ser bloqueos cuando se acordó que arrancarían vacías con una conducta segura y se cargarían desde la torre de control. Una decisión de diseño resultó ser también una herramienta de gestión del alcance.</w:t>
      </w:r>
    </w:p>
    <w:bookmarkEnd w:id="34"/>
    <w:sectPr w:rsidR="00FC693F" w:rsidRPr="0006063C" w:rsidSect="00034616">
      <w:headerReference r:id="rId9" w:type="default"/>
      <w:footerReference r:id="rId10" w:type="default"/>
      <w:pgSz w:h="16838" w:w="11906"/>
      <w:pgMar w:bottom="1020" w:footer="720" w:gutter="0" w:header="720" w:left="1134" w:right="1134" w:top="1134"/>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Página </w:t>
    </w:r>
    <w:r>
      <w:fldChar w:fldCharType="begin"/>
    </w:r>
    <w:r>
      <w:instrText xml:space="preserve">PAGE</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RELWO · Portafolio de Título (PTY4614) · Duoc UC Plaza Norte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264" w:lineRule="auto"/>
    </w:pPr>
    <w:rPr>
      <w:rFonts w:ascii="Calibri" w:eastAsia="Calibri" w:hAnsi="Calibri"/>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240"/>
      <w:outlineLvl w:val="0"/>
    </w:pPr>
    <w:rPr>
      <w:rFonts w:ascii="Calibri" w:hAnsi="Calibri"/>
      <w:b/>
      <w:bCs/>
      <w:color w:val="1F3864"/>
      <w:sz w:val="36"/>
      <w:szCs w:val="28"/>
    </w:rPr>
  </w:style>
  <w:style w:styleId="Heading2" w:type="paragraph">
    <w:name w:val="heading 2"/>
    <w:basedOn w:val="Normal"/>
    <w:next w:val="Normal"/>
    <w:link w:val="Heading2Char"/>
    <w:uiPriority w:val="9"/>
    <w:unhideWhenUsed/>
    <w:qFormat/>
    <w:rsid w:val="00FC693F"/>
    <w:pPr>
      <w:keepNext/>
      <w:keepLines/>
      <w:spacing w:after="80" w:before="240"/>
      <w:outlineLvl w:val="1"/>
    </w:pPr>
    <w:rPr>
      <w:rFonts w:ascii="Calibri" w:hAnsi="Calibri"/>
      <w:b/>
      <w:bCs/>
      <w:color w:val="1F3864"/>
      <w:sz w:val="28"/>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Calibri" w:hAnsi="Calibri"/>
      <w:b/>
      <w:bCs/>
      <w:color w:val="2E75B6"/>
      <w:sz w:val="24"/>
    </w:rPr>
  </w:style>
  <w:style w:styleId="Heading4" w:type="paragraph">
    <w:name w:val="heading 4"/>
    <w:basedOn w:val="Normal"/>
    <w:next w:val="Normal"/>
    <w:link w:val="Heading4Char"/>
    <w:uiPriority w:val="9"/>
    <w:semiHidden/>
    <w:unhideWhenUsed/>
    <w:qFormat/>
    <w:rsid w:val="00FC693F"/>
    <w:pPr>
      <w:keepNext/>
      <w:keepLines/>
      <w:spacing w:after="80" w:before="160"/>
      <w:outlineLvl w:val="3"/>
    </w:pPr>
    <w:rPr>
      <w:rFonts w:ascii="Calibri" w:hAnsi="Calibri"/>
      <w:b/>
      <w:bCs/>
      <w:i/>
      <w:iCs/>
      <w:color w:val="2E75B6"/>
      <w:sz w:val="22"/>
    </w:rPr>
  </w:style>
  <w:style w:styleId="Heading5" w:type="paragraph">
    <w:name w:val="heading 5"/>
    <w:basedOn w:val="Normal"/>
    <w:next w:val="Normal"/>
    <w:link w:val="Heading5Char"/>
    <w:uiPriority w:val="9"/>
    <w:semiHidden/>
    <w:unhideWhenUsed/>
    <w:qFormat/>
    <w:rsid w:val="00FC693F"/>
    <w:pPr>
      <w:keepNext/>
      <w:keepLines/>
      <w:spacing w:after="80" w:before="160"/>
      <w:outlineLvl w:val="4"/>
    </w:pPr>
    <w:rPr>
      <w:rFonts w:ascii="Calibri" w:hAnsi="Calibri"/>
      <w:b/>
      <w:color w:val="595959"/>
      <w:sz w:val="21"/>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Table" w:type="table">
    <w:name w:val="Table"/>
    <w:basedOn w:val="TableNormal"/>
    <w:uiPriority w:val="59"/>
    <w:rPr>
      <w:sz w:val="18"/>
      <w:szCs w:val="18"/>
    </w:rPr>
    <w:tblPr>
      <w:tblStyleRowBandSize w:val="1"/>
      <w:tblW w:type="auto" w:w="0"/>
      <w:tblBorders>
        <w:top w:color="9AA3B5" w:space="0" w:sz="4" w:val="single"/>
        <w:left w:color="9AA3B5" w:space="0" w:sz="4" w:val="single"/>
        <w:bottom w:color="9AA3B5" w:space="0" w:sz="4" w:val="single"/>
        <w:right w:color="9AA3B5" w:space="0" w:sz="4" w:val="single"/>
        <w:insideH w:color="9AA3B5" w:space="0" w:sz="4" w:val="single"/>
        <w:insideV w:color="9AA3B5" w:space="0" w:sz="4" w:val="single"/>
      </w:tblBorders>
      <w:tblCellMar>
        <w:top w:type="dxa" w:w="40"/>
        <w:left w:type="dxa" w:w="80"/>
        <w:bottom w:type="dxa" w:w="40"/>
        <w:right w:type="dxa" w:w="80"/>
      </w:tblCellMar>
    </w:tblPr>
    <w:tblStylePr w:type="firstRow">
      <w:rPr>
        <w:b/>
      </w:rPr>
      <w:tcPr>
        <w:shd w:color="auto" w:fill="E8ECF5"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2026-10-19T18:42:16Z</dcterms:created>
  <dcterms:modified xsi:type="dcterms:W3CDTF">2026-10-19T18:42:16Z</dcterms:modified>
</cp:coreProperties>
</file>

<file path=docProps/custom.xml><?xml version="1.0" encoding="utf-8"?>
<Properties xmlns="http://schemas.openxmlformats.org/officeDocument/2006/custom-properties" xmlns:vt="http://schemas.openxmlformats.org/officeDocument/2006/docPropsVTypes"/>
</file>