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rFonts w:ascii="Calibri" w:cs="Calibri" w:eastAsia="Calibri" w:hAnsi="Calibri"/>
          <w:color w:val="595959"/>
          <w:sz w:val="18"/>
          <w:szCs w:val="18"/>
        </w:rPr>
        <w:t xml:space="preserve">Maurizio Taruggi</w:t>
      </w:r>
    </w:p>
    <w:p>
      <w:pPr>
        <w:spacing w:after="60"/>
        <w:jc w:val="right"/>
      </w:pPr>
      <w:r>
        <w:rPr>
          <w:rFonts w:ascii="Calibri" w:cs="Calibri" w:eastAsia="Calibri" w:hAnsi="Calibri"/>
          <w:color w:val="595959"/>
          <w:sz w:val="18"/>
          <w:szCs w:val="18"/>
        </w:rPr>
        <w:t xml:space="preserve">Amministratore Unico - Point 2000 S.R.L. SSD</w:t>
      </w:r>
    </w:p>
    <w:p>
      <w:pPr>
        <w:spacing w:after="360"/>
        <w:jc w:val="right"/>
      </w:pPr>
      <w:r>
        <w:rPr>
          <w:rFonts w:ascii="Calibri" w:cs="Calibri" w:eastAsia="Calibri" w:hAnsi="Calibri"/>
          <w:color w:val="595959"/>
          <w:sz w:val="18"/>
          <w:szCs w:val="18"/>
        </w:rPr>
        <w:t xml:space="preserve">Roma, aprile 2026</w:t>
      </w:r>
    </w:p>
    <w:p>
      <w:pPr>
        <w:spacing w:after="80"/>
        <w:jc w:val="center"/>
      </w:pPr>
      <w:r>
        <w:rPr>
          <w:rFonts w:ascii="Calibri" w:cs="Calibri" w:eastAsia="Calibri" w:hAnsi="Calibri"/>
          <w:b/>
          <w:bCs/>
          <w:color w:val="1F3864"/>
          <w:sz w:val="26"/>
          <w:szCs w:val="26"/>
        </w:rPr>
        <w:t xml:space="preserve">NOTA TECNICA</w:t>
      </w:r>
    </w:p>
    <w:p>
      <w:pPr>
        <w:spacing w:after="80"/>
        <w:jc w:val="center"/>
      </w:pPr>
      <w:r>
        <w:rPr>
          <w:rFonts w:ascii="Calibri" w:cs="Calibri" w:eastAsia="Calibri" w:hAnsi="Calibri"/>
          <w:b/>
          <w:bCs/>
          <w:color w:val="1F3864"/>
          <w:sz w:val="26"/>
          <w:szCs w:val="26"/>
        </w:rPr>
        <w:t xml:space="preserve">Riorganizzazione Point 2000 SSD</w:t>
      </w:r>
    </w:p>
    <w:p>
      <w:pPr>
        <w:spacing w:after="360"/>
        <w:jc w:val="center"/>
      </w:pPr>
      <w:r>
        <w:rPr>
          <w:rFonts w:ascii="Calibri" w:cs="Calibri" w:eastAsia="Calibri" w:hAnsi="Calibri"/>
          <w:i/>
          <w:iCs/>
          <w:color w:val="595959"/>
          <w:sz w:val="22"/>
          <w:szCs w:val="22"/>
        </w:rPr>
        <w:t xml:space="preserve">Operazione preliminare di chiusura usufrutto e successiva scissione parziale</w:t>
      </w:r>
    </w:p>
    <w:p>
      <w:pPr>
        <w:pStyle w:val="Heading1"/>
        <w:spacing w:after="180" w:before="360"/>
      </w:pPr>
      <w:r>
        <w:rPr>
          <w:rFonts w:ascii="Calibri" w:cs="Calibri" w:eastAsia="Calibri" w:hAnsi="Calibri"/>
          <w:b/>
          <w:bCs/>
          <w:color w:val="1F3864"/>
          <w:sz w:val="28"/>
          <w:szCs w:val="28"/>
        </w:rPr>
        <w:t xml:space="preserve">1. Premessa e obiettivo della nota</w:t>
      </w:r>
    </w:p>
    <w:p>
      <w:pPr>
        <w:spacing w:after="120" w:line="300"/>
        <w:jc w:val="both"/>
      </w:pPr>
      <w:r>
        <w:rPr>
          <w:rFonts w:ascii="Calibri" w:cs="Calibri" w:eastAsia="Calibri" w:hAnsi="Calibri"/>
          <w:sz w:val="22"/>
          <w:szCs w:val="22"/>
        </w:rPr>
        <w:t xml:space="preserve">La presente nota sintetizza l'operazione di riorganizzazione complessiva del gruppo Point 2000 che intendo sottoporre alla tua valutazione tecnica. L'obiettivo finale e' duplice: (i) far perdere a Point 2000 la qualifica sportiva e trasformarla in SRL commerciale ordinaria con focus sul fitness adulti, e (ii) costituire una nuova SSD (Newco SSD) che eredita le riserve patrimoniali vincolate, le attivita' sportive junior e le affiliazioni federali.</w:t>
      </w:r>
    </w:p>
    <w:p>
      <w:pPr>
        <w:spacing w:after="120" w:line="300"/>
        <w:jc w:val="both"/>
      </w:pPr>
      <w:r>
        <w:rPr>
          <w:rFonts w:ascii="Calibri" w:cs="Calibri" w:eastAsia="Calibri" w:hAnsi="Calibri"/>
          <w:b/>
          <w:bCs/>
          <w:sz w:val="22"/>
          <w:szCs w:val="22"/>
        </w:rPr>
        <w:t xml:space="preserve">L'operazione si articola in due fasi distinte ma logicamente collegate, </w:t>
      </w:r>
      <w:r>
        <w:rPr>
          <w:rFonts w:ascii="Calibri" w:cs="Calibri" w:eastAsia="Calibri" w:hAnsi="Calibri"/>
          <w:sz w:val="22"/>
          <w:szCs w:val="22"/>
        </w:rPr>
        <w:t xml:space="preserve">entrambe da realizzare entro il 31.12.2026:</w:t>
      </w:r>
    </w:p>
    <w:p>
      <w:pPr>
        <w:pStyle w:val="ListParagraph"/>
        <w:numPr>
          <w:ilvl w:val="0"/>
          <w:numId w:val="2"/>
        </w:numPr>
        <w:spacing w:after="80" w:line="280"/>
      </w:pPr>
      <w:r>
        <w:rPr>
          <w:rFonts w:ascii="Calibri" w:cs="Calibri" w:eastAsia="Calibri" w:hAnsi="Calibri"/>
          <w:b/>
          <w:bCs/>
          <w:sz w:val="22"/>
          <w:szCs w:val="22"/>
        </w:rPr>
        <w:t xml:space="preserve">Fase 1 (ottobre 2026): </w:t>
      </w:r>
      <w:r>
        <w:rPr>
          <w:rFonts w:ascii="Calibri" w:cs="Calibri" w:eastAsia="Calibri" w:hAnsi="Calibri"/>
          <w:sz w:val="22"/>
          <w:szCs w:val="22"/>
        </w:rPr>
        <w:t xml:space="preserve">riconsegna anticipata del nuovo usufrutto a Ojetti 134 SRL, con compensazione tramite accollo del mutuo ipotecario BPM ed eliminazione dei debiti commerciali correlati. Contestuale stipula di un nuovo contratto di locazione tra Point 2000 e Ojetti 134.</w:t>
      </w:r>
    </w:p>
    <w:p>
      <w:pPr>
        <w:pStyle w:val="ListParagraph"/>
        <w:numPr>
          <w:ilvl w:val="0"/>
          <w:numId w:val="2"/>
        </w:numPr>
        <w:spacing w:after="80" w:line="280"/>
      </w:pPr>
      <w:r>
        <w:rPr>
          <w:rFonts w:ascii="Calibri" w:cs="Calibri" w:eastAsia="Calibri" w:hAnsi="Calibri"/>
          <w:b/>
          <w:bCs/>
          <w:sz w:val="22"/>
          <w:szCs w:val="22"/>
        </w:rPr>
        <w:t xml:space="preserve">Fase 2 (novembre-dicembre 2026): </w:t>
      </w:r>
      <w:r>
        <w:rPr>
          <w:rFonts w:ascii="Calibri" w:cs="Calibri" w:eastAsia="Calibri" w:hAnsi="Calibri"/>
          <w:sz w:val="22"/>
          <w:szCs w:val="22"/>
        </w:rPr>
        <w:t xml:space="preserve">scissione parziale proporzionale di Point 2000 SSD, con costituzione della Newco SSD beneficiaria delle riserve vincolate e delle attivita' sportive junior, e contestuale modifica statutaria del residuo Point 2000 con perdita della qualifica sportiva e trasformazione in SRL commerciale.</w:t>
      </w:r>
    </w:p>
    <w:p>
      <w:pPr>
        <w:spacing w:after="120" w:line="300"/>
        <w:jc w:val="both"/>
      </w:pPr>
      <w:r>
        <w:rPr>
          <w:rFonts w:ascii="Calibri" w:cs="Calibri" w:eastAsia="Calibri" w:hAnsi="Calibri"/>
          <w:sz w:val="22"/>
          <w:szCs w:val="22"/>
        </w:rPr>
        <w:t xml:space="preserve">La sequenzialita' e' importante: la Fase 1 libera il bilancio dalle complessita' legate all'usufrutto e al mutuo ipotecario, semplificando significativamente la successiva scissione. Senza la chiusura preventiva dell'usufrutto, la scissione richiederebbe la gestione di un asset immobilizzato di significativa entita', di un mutuo ipotecario con possibili clausole di change of control, e di rapporti incrociati con la societa' proprietaria dell'immobile.</w:t>
      </w:r>
    </w:p>
    <w:p>
      <w:pPr>
        <w:pStyle w:val="Heading1"/>
        <w:spacing w:after="180" w:before="360"/>
      </w:pPr>
      <w:r>
        <w:rPr>
          <w:rFonts w:ascii="Calibri" w:cs="Calibri" w:eastAsia="Calibri" w:hAnsi="Calibri"/>
          <w:b/>
          <w:bCs/>
          <w:color w:val="1F3864"/>
          <w:sz w:val="28"/>
          <w:szCs w:val="28"/>
        </w:rPr>
        <w:t xml:space="preserve">2. Quadro patrimoniale al 31.12.2025</w:t>
      </w:r>
    </w:p>
    <w:p>
      <w:pPr>
        <w:spacing w:after="120" w:line="300"/>
        <w:jc w:val="both"/>
      </w:pPr>
      <w:r>
        <w:rPr>
          <w:rFonts w:ascii="Calibri" w:cs="Calibri" w:eastAsia="Calibri" w:hAnsi="Calibri"/>
          <w:sz w:val="22"/>
          <w:szCs w:val="22"/>
        </w:rPr>
        <w:t xml:space="preserve">Point 2000 S.R.L. Societa' Sportiva Dilettantistica presenta al 31.12.2025 il seguente patrimonio netto: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rPr>
          <w:tblHeader/>
        </w:trPr>
        <w:tc>
          <w:tcPr>
            <w:tcW w:type="dxa" w:w="4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Voce di patrimonio netto</w:t>
            </w:r>
          </w:p>
        </w:tc>
        <w:tc>
          <w:tcPr>
            <w:tcW w:type="dxa" w:w="225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rFonts w:ascii="Calibri" w:cs="Calibri" w:eastAsia="Calibri" w:hAnsi="Calibri"/>
                <w:b/>
                <w:bCs/>
                <w:color w:val="000000"/>
                <w:sz w:val="20"/>
                <w:szCs w:val="20"/>
              </w:rPr>
              <w:t xml:space="preserve">Importo</w:t>
            </w:r>
          </w:p>
        </w:tc>
        <w:tc>
          <w:tcPr>
            <w:tcW w:type="dxa" w:w="225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Vincolo statutario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Capitale sociale</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EUR 20.000,00</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Devolvibile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Riserva legale</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EUR 7.619,43</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Devolvibile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Riserva straordinaria</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EUR 113.630,92</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C00000"/>
                <w:sz w:val="20"/>
                <w:szCs w:val="20"/>
              </w:rPr>
              <w:t xml:space="preserve">Non distribuibile (art. 12)</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Utile esercizio 2025</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color w:val="000000"/>
                <w:sz w:val="20"/>
                <w:szCs w:val="20"/>
              </w:rPr>
              <w:t xml:space="preserve">EUR 102.212,86</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Da accantonare a riserva</w:t>
            </w:r>
          </w:p>
        </w:tc>
      </w:tr>
      <w:tr>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PATRIMONIO NETTO TOTALE</w:t>
            </w:r>
          </w:p>
        </w:tc>
        <w:tc>
          <w:tcPr>
            <w:tcW w:type="dxa" w:w="22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rFonts w:ascii="Calibri" w:cs="Calibri" w:eastAsia="Calibri" w:hAnsi="Calibri"/>
                <w:b/>
                <w:bCs/>
                <w:color w:val="000000"/>
                <w:sz w:val="20"/>
                <w:szCs w:val="20"/>
              </w:rPr>
              <w:t xml:space="preserve">EUR 243.463,21</w:t>
            </w:r>
          </w:p>
        </w:tc>
        <w:tc>
          <w:tcPr>
            <w:tcW w:type="dxa" w:w="22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bl>
    <w:p>
      <w:pPr>
        <w:spacing w:after="120" w:line="300"/>
        <w:jc w:val="both"/>
      </w:pPr>
      <w:r>
        <w:rPr>
          <w:rFonts w:ascii="Calibri" w:cs="Calibri" w:eastAsia="Calibri" w:hAnsi="Calibri"/>
          <w:sz w:val="22"/>
          <w:szCs w:val="22"/>
        </w:rPr>
        <w:t xml:space="preserve"/>
      </w:r>
    </w:p>
    <w:p>
      <w:pPr>
        <w:spacing w:after="120" w:line="300"/>
        <w:jc w:val="both"/>
      </w:pPr>
      <w:r>
        <w:rPr>
          <w:rFonts w:ascii="Calibri" w:cs="Calibri" w:eastAsia="Calibri" w:hAnsi="Calibri"/>
          <w:b/>
          <w:bCs/>
          <w:sz w:val="22"/>
          <w:szCs w:val="22"/>
        </w:rPr>
        <w:t xml:space="preserve">Vincoli statutari rilevanti. </w:t>
      </w:r>
      <w:r>
        <w:rPr>
          <w:rFonts w:ascii="Calibri" w:cs="Calibri" w:eastAsia="Calibri" w:hAnsi="Calibri"/>
          <w:sz w:val="22"/>
          <w:szCs w:val="22"/>
        </w:rPr>
        <w:t xml:space="preserve">Lo statuto vigente (versione modificata in data 10.02.2026, rep. notaio Orlandi 31946) contiene clausole vincolanti che condizionano qualsiasi operazione straordinaria:</w:t>
      </w:r>
    </w:p>
    <w:p>
      <w:pPr>
        <w:pStyle w:val="ListParagraph"/>
        <w:numPr>
          <w:ilvl w:val="0"/>
          <w:numId w:val="2"/>
        </w:numPr>
        <w:spacing w:after="80" w:line="280"/>
      </w:pPr>
      <w:r>
        <w:rPr>
          <w:rFonts w:ascii="Calibri" w:cs="Calibri" w:eastAsia="Calibri" w:hAnsi="Calibri"/>
          <w:b/>
          <w:bCs/>
          <w:sz w:val="22"/>
          <w:szCs w:val="22"/>
        </w:rPr>
        <w:t xml:space="preserve">Art. 3 - </w:t>
      </w:r>
      <w:r>
        <w:rPr>
          <w:rFonts w:ascii="Calibri" w:cs="Calibri" w:eastAsia="Calibri" w:hAnsi="Calibri"/>
          <w:sz w:val="22"/>
          <w:szCs w:val="22"/>
        </w:rPr>
        <w:t xml:space="preserve">Scopo non lucrativo: la societa' e' senza scopo di lucro;</w:t>
      </w:r>
    </w:p>
    <w:p>
      <w:pPr>
        <w:pStyle w:val="ListParagraph"/>
        <w:numPr>
          <w:ilvl w:val="0"/>
          <w:numId w:val="2"/>
        </w:numPr>
        <w:spacing w:after="80" w:line="280"/>
      </w:pPr>
      <w:r>
        <w:rPr>
          <w:rFonts w:ascii="Calibri" w:cs="Calibri" w:eastAsia="Calibri" w:hAnsi="Calibri"/>
          <w:b/>
          <w:bCs/>
          <w:sz w:val="22"/>
          <w:szCs w:val="22"/>
        </w:rPr>
        <w:t xml:space="preserve">Art. 12 - </w:t>
      </w:r>
      <w:r>
        <w:rPr>
          <w:rFonts w:ascii="Calibri" w:cs="Calibri" w:eastAsia="Calibri" w:hAnsi="Calibri"/>
          <w:sz w:val="22"/>
          <w:szCs w:val="22"/>
        </w:rPr>
        <w:t xml:space="preserve">Divieto di distribuzione utili anche indiretta, con destinazione obbligatoria a riserva statutaria non distribuibile tra i soci neanche in caso di scioglimento della societa';</w:t>
      </w:r>
    </w:p>
    <w:p>
      <w:pPr>
        <w:pStyle w:val="ListParagraph"/>
        <w:numPr>
          <w:ilvl w:val="0"/>
          <w:numId w:val="2"/>
        </w:numPr>
        <w:spacing w:after="80" w:line="280"/>
      </w:pPr>
      <w:r>
        <w:rPr>
          <w:rFonts w:ascii="Calibri" w:cs="Calibri" w:eastAsia="Calibri" w:hAnsi="Calibri"/>
          <w:b/>
          <w:bCs/>
          <w:sz w:val="22"/>
          <w:szCs w:val="22"/>
        </w:rPr>
        <w:t xml:space="preserve">Art. 13 lett. g) e Art. 15 - </w:t>
      </w:r>
      <w:r>
        <w:rPr>
          <w:rFonts w:ascii="Calibri" w:cs="Calibri" w:eastAsia="Calibri" w:hAnsi="Calibri"/>
          <w:sz w:val="22"/>
          <w:szCs w:val="22"/>
        </w:rPr>
        <w:t xml:space="preserve">Devoluzione obbligatoria dell'intero patrimonio residuo, in caso di scioglimento, ad altre SSD/ASD aventi finalita' analoghe o ad altri fini sportivi.</w:t>
      </w:r>
    </w:p>
    <w:p>
      <w:pPr>
        <w:spacing w:after="120" w:line="300"/>
        <w:jc w:val="both"/>
      </w:pPr>
      <w:r>
        <w:rPr>
          <w:rFonts w:ascii="Calibri" w:cs="Calibri" w:eastAsia="Calibri" w:hAnsi="Calibri"/>
          <w:sz w:val="22"/>
          <w:szCs w:val="22"/>
        </w:rPr>
        <w:t xml:space="preserve">Tali vincoli, derivanti dall'art. 8 D.Lgs. 36/2021, </w:t>
      </w:r>
      <w:r>
        <w:rPr>
          <w:rFonts w:ascii="Calibri" w:cs="Calibri" w:eastAsia="Calibri" w:hAnsi="Calibri"/>
          <w:b/>
          <w:bCs/>
          <w:sz w:val="22"/>
          <w:szCs w:val="22"/>
        </w:rPr>
        <w:t xml:space="preserve">rendono impraticabile una trasformazione diretta in SRL commerciale </w:t>
      </w:r>
      <w:r>
        <w:rPr>
          <w:rFonts w:ascii="Calibri" w:cs="Calibri" w:eastAsia="Calibri" w:hAnsi="Calibri"/>
          <w:sz w:val="22"/>
          <w:szCs w:val="22"/>
        </w:rPr>
        <w:t xml:space="preserve">senza preventiva devoluzione del patrimonio o tassazione integrale dello stesso come sopravvenienza attiva.</w:t>
      </w:r>
    </w:p>
    <w:p>
      <w:pPr>
        <w:pStyle w:val="Heading1"/>
        <w:spacing w:after="180" w:before="360"/>
      </w:pPr>
      <w:r>
        <w:rPr>
          <w:rFonts w:ascii="Calibri" w:cs="Calibri" w:eastAsia="Calibri" w:hAnsi="Calibri"/>
          <w:b/>
          <w:bCs/>
          <w:color w:val="1F3864"/>
          <w:sz w:val="28"/>
          <w:szCs w:val="28"/>
        </w:rPr>
        <w:t xml:space="preserve">3. Fase 1 - Chiusura del rapporto di usufrutto (ottobre 2026)</w:t>
      </w:r>
    </w:p>
    <w:p>
      <w:pPr>
        <w:pStyle w:val="Heading2"/>
        <w:spacing w:after="120" w:before="240"/>
      </w:pPr>
      <w:r>
        <w:rPr>
          <w:rFonts w:ascii="Calibri" w:cs="Calibri" w:eastAsia="Calibri" w:hAnsi="Calibri"/>
          <w:b/>
          <w:bCs/>
          <w:color w:val="2E5496"/>
          <w:sz w:val="24"/>
          <w:szCs w:val="24"/>
        </w:rPr>
        <w:t xml:space="preserve">3.1 Situazione contrattuale e contabile</w:t>
      </w:r>
    </w:p>
    <w:p>
      <w:pPr>
        <w:spacing w:after="120" w:line="300"/>
        <w:jc w:val="both"/>
      </w:pPr>
      <w:r>
        <w:rPr>
          <w:rFonts w:ascii="Calibri" w:cs="Calibri" w:eastAsia="Calibri" w:hAnsi="Calibri"/>
          <w:sz w:val="22"/>
          <w:szCs w:val="22"/>
        </w:rPr>
        <w:t xml:space="preserve">Il bilancio Point 2000 al 31.12.2025 espone due distinte voci di usufrutto sull'immobile di via Ugo Ojetti 134, di proprieta' della societa' immobiliare collegata Ojetti 134 SRL:</w:t>
      </w:r>
    </w:p>
    <w:p>
      <w:pPr>
        <w:pStyle w:val="ListParagraph"/>
        <w:numPr>
          <w:ilvl w:val="0"/>
          <w:numId w:val="2"/>
        </w:numPr>
        <w:spacing w:after="80" w:line="280"/>
      </w:pPr>
      <w:r>
        <w:rPr>
          <w:rFonts w:ascii="Calibri" w:cs="Calibri" w:eastAsia="Calibri" w:hAnsi="Calibri"/>
          <w:b/>
          <w:bCs/>
          <w:sz w:val="22"/>
          <w:szCs w:val="22"/>
        </w:rPr>
        <w:t xml:space="preserve">Usufrutto in scadenza (vecchio): </w:t>
      </w:r>
      <w:r>
        <w:rPr>
          <w:rFonts w:ascii="Calibri" w:cs="Calibri" w:eastAsia="Calibri" w:hAnsi="Calibri"/>
          <w:sz w:val="22"/>
          <w:szCs w:val="22"/>
        </w:rPr>
        <w:t xml:space="preserve">voci Usufrutto 2025 EUR 33.465,64 e Usufrutto scad. 31/12 EUR 2.306.611,49, con scadenza naturale al 31.12.2025-2026; al 31.10.2026 risulteranno integralmente ammortizzati e a valore netto contabile pari a zero.</w:t>
      </w:r>
    </w:p>
    <w:p>
      <w:pPr>
        <w:pStyle w:val="ListParagraph"/>
        <w:numPr>
          <w:ilvl w:val="0"/>
          <w:numId w:val="2"/>
        </w:numPr>
        <w:spacing w:after="80" w:line="280"/>
      </w:pPr>
      <w:r>
        <w:rPr>
          <w:rFonts w:ascii="Calibri" w:cs="Calibri" w:eastAsia="Calibri" w:hAnsi="Calibri"/>
          <w:b/>
          <w:bCs/>
          <w:sz w:val="22"/>
          <w:szCs w:val="22"/>
        </w:rPr>
        <w:t xml:space="preserve">Usufrutto a decorrere dal 2027 (nuovo): </w:t>
      </w:r>
      <w:r>
        <w:rPr>
          <w:rFonts w:ascii="Calibri" w:cs="Calibri" w:eastAsia="Calibri" w:hAnsi="Calibri"/>
          <w:sz w:val="22"/>
          <w:szCs w:val="22"/>
        </w:rPr>
        <w:t xml:space="preserve">voce Usufrutto 2027/2031 EUR 1.567.053,53, gia' parzialmente pagato e iscritto in bilancio, con decorrenza programmata da ottobre 2026 e scadenza 2031. L'ammortamento non e' ancora iniziato; il valore netto contabile al 31.10.2026 risultera' pari al valore lordo iscritto.</w:t>
      </w:r>
    </w:p>
    <w:p>
      <w:pPr>
        <w:spacing w:after="120" w:line="300"/>
        <w:jc w:val="both"/>
      </w:pPr>
      <w:r>
        <w:rPr>
          <w:rFonts w:ascii="Calibri" w:cs="Calibri" w:eastAsia="Calibri" w:hAnsi="Calibri"/>
          <w:sz w:val="22"/>
          <w:szCs w:val="22"/>
        </w:rPr>
        <w:t xml:space="preserve">In contropartita, al 31.12.2025 sono iscritti debiti verso la societa' proprietaria per complessivi EUR 880.000 (di cui EUR 680.000 a M/L termine ed EUR 200.000 come fatture da ricevere a B/T) e un mutuo ipotecario BPM con saldo complessivo di circa EUR 962.000 (EUR 856.994 oltre 12 mesi + EUR 105.217 quota corrente), che era stato originariamente acceso per finanziare l'acquisizione del diritto di usufrutto.</w:t>
      </w:r>
    </w:p>
    <w:p>
      <w:pPr>
        <w:pStyle w:val="Heading2"/>
        <w:spacing w:after="120" w:before="240"/>
      </w:pPr>
      <w:r>
        <w:rPr>
          <w:rFonts w:ascii="Calibri" w:cs="Calibri" w:eastAsia="Calibri" w:hAnsi="Calibri"/>
          <w:b/>
          <w:bCs/>
          <w:color w:val="2E5496"/>
          <w:sz w:val="24"/>
          <w:szCs w:val="24"/>
        </w:rPr>
        <w:t xml:space="preserve">3.2 Operazione proposta</w:t>
      </w:r>
    </w:p>
    <w:p>
      <w:pPr>
        <w:spacing w:after="120" w:line="300"/>
        <w:jc w:val="both"/>
      </w:pPr>
      <w:r>
        <w:rPr>
          <w:rFonts w:ascii="Calibri" w:cs="Calibri" w:eastAsia="Calibri" w:hAnsi="Calibri"/>
          <w:b/>
          <w:bCs/>
          <w:sz w:val="22"/>
          <w:szCs w:val="22"/>
        </w:rPr>
        <w:t xml:space="preserve">Riconsegna del nuovo usufrutto in luogo di esecuzione. </w:t>
      </w:r>
      <w:r>
        <w:rPr>
          <w:rFonts w:ascii="Calibri" w:cs="Calibri" w:eastAsia="Calibri" w:hAnsi="Calibri"/>
          <w:sz w:val="22"/>
          <w:szCs w:val="22"/>
        </w:rPr>
        <w:t xml:space="preserve">In coordinamento con Ojetti 134 SRL, anziche' lasciar decorrere il nuovo usufrutto dal 1 ottobre 2026, le parti convengono di restituire anticipatamente il diritto al concedente, con effetti compensativi:</w:t>
      </w:r>
    </w:p>
    <w:p>
      <w:pPr>
        <w:pStyle w:val="ListParagraph"/>
        <w:numPr>
          <w:ilvl w:val="0"/>
          <w:numId w:val="3"/>
        </w:numPr>
        <w:spacing w:after="80" w:line="280"/>
      </w:pPr>
      <w:r>
        <w:rPr>
          <w:rFonts w:ascii="Calibri" w:cs="Calibri" w:eastAsia="Calibri" w:hAnsi="Calibri"/>
          <w:sz w:val="22"/>
          <w:szCs w:val="22"/>
        </w:rPr>
        <w:t xml:space="preserve">Point 2000 storna integralmente l'asset Usufrutto 2027/2031 dall'attivo (EUR 1.567.053,53);</w:t>
      </w:r>
    </w:p>
    <w:p>
      <w:pPr>
        <w:pStyle w:val="ListParagraph"/>
        <w:numPr>
          <w:ilvl w:val="0"/>
          <w:numId w:val="3"/>
        </w:numPr>
        <w:spacing w:after="80" w:line="280"/>
      </w:pPr>
      <w:r>
        <w:rPr>
          <w:rFonts w:ascii="Calibri" w:cs="Calibri" w:eastAsia="Calibri" w:hAnsi="Calibri"/>
          <w:sz w:val="22"/>
          <w:szCs w:val="22"/>
        </w:rPr>
        <w:t xml:space="preserve">Ojetti 134 SRL si accolla il mutuo ipotecario BPM, eliminando il debito di Point 2000 verso la banca (saldo stimato al 31.10.2026 circa EUR 842.000);</w:t>
      </w:r>
    </w:p>
    <w:p>
      <w:pPr>
        <w:pStyle w:val="ListParagraph"/>
        <w:numPr>
          <w:ilvl w:val="0"/>
          <w:numId w:val="3"/>
        </w:numPr>
        <w:spacing w:after="80" w:line="280"/>
      </w:pPr>
      <w:r>
        <w:rPr>
          <w:rFonts w:ascii="Calibri" w:cs="Calibri" w:eastAsia="Calibri" w:hAnsi="Calibri"/>
          <w:sz w:val="22"/>
          <w:szCs w:val="22"/>
        </w:rPr>
        <w:t xml:space="preserve">Vengono eliminati per compensazione i debiti commerciali Point 2000 verso Ojetti 134 (EUR 880.000), in quanto rappresentavano la quota parte del corrispettivo dell'usufrutto non ancora versata;</w:t>
      </w:r>
    </w:p>
    <w:p>
      <w:pPr>
        <w:pStyle w:val="ListParagraph"/>
        <w:numPr>
          <w:ilvl w:val="0"/>
          <w:numId w:val="3"/>
        </w:numPr>
        <w:spacing w:after="80" w:line="280"/>
      </w:pPr>
      <w:r>
        <w:rPr>
          <w:rFonts w:ascii="Calibri" w:cs="Calibri" w:eastAsia="Calibri" w:hAnsi="Calibri"/>
          <w:sz w:val="22"/>
          <w:szCs w:val="22"/>
        </w:rPr>
        <w:t xml:space="preserve">Tra Point 2000 SRL e Ojetti 134 SRL viene contestualmente stipulato un nuovo contratto di locazione commerciale, a canone di mercato, per l'utilizzo dell'immobile.</w:t>
      </w:r>
    </w:p>
    <w:p>
      <w:pPr>
        <w:pStyle w:val="Heading2"/>
        <w:spacing w:after="120" w:before="240"/>
      </w:pPr>
      <w:r>
        <w:rPr>
          <w:rFonts w:ascii="Calibri" w:cs="Calibri" w:eastAsia="Calibri" w:hAnsi="Calibri"/>
          <w:b/>
          <w:bCs/>
          <w:color w:val="2E5496"/>
          <w:sz w:val="24"/>
          <w:szCs w:val="24"/>
        </w:rPr>
        <w:t xml:space="preserve">3.3 Effetto patrimoniale stimato</w:t>
      </w:r>
    </w:p>
    <w:p>
      <w:pPr>
        <w:spacing w:after="120" w:line="300"/>
        <w:jc w:val="both"/>
      </w:pPr>
      <w:r>
        <w:rPr>
          <w:rFonts w:ascii="Calibri" w:cs="Calibri" w:eastAsia="Calibri" w:hAnsi="Calibri"/>
          <w:sz w:val="22"/>
          <w:szCs w:val="22"/>
        </w:rPr>
        <w:t xml:space="preserve">L'operazione ha natura compensativa ma genera un effetto netto positivo sul patrimonio di Point 2000, stimato come segue (importi indicativi salvo verifica saldi al 31.10.2026):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rPr>
          <w:tblHeader/>
        </w:trPr>
        <w:tc>
          <w:tcPr>
            <w:tcW w:type="dxa" w:w="4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Voce</w:t>
            </w:r>
          </w:p>
        </w:tc>
        <w:tc>
          <w:tcPr>
            <w:tcW w:type="dxa" w:w="225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rFonts w:ascii="Calibri" w:cs="Calibri" w:eastAsia="Calibri" w:hAnsi="Calibri"/>
                <w:b/>
                <w:bCs/>
                <w:color w:val="000000"/>
                <w:sz w:val="20"/>
                <w:szCs w:val="20"/>
              </w:rPr>
              <w:t xml:space="preserve">Importo</w:t>
            </w:r>
          </w:p>
        </w:tc>
        <w:tc>
          <w:tcPr>
            <w:tcW w:type="dxa" w:w="225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Effetto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Storno asset: Usufrutto 2027/2031 (valore netto)</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color w:val="C00000"/>
                <w:sz w:val="20"/>
                <w:szCs w:val="20"/>
              </w:rPr>
              <w:t xml:space="preserve">EUR 1.567.053,53</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 Attivo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Eliminazione mutuo BPM (accollo da Ojetti 134) - stima al 31.10.2026</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color w:val="00703C"/>
                <w:sz w:val="20"/>
                <w:szCs w:val="20"/>
              </w:rPr>
              <w:t xml:space="preserve">EUR 842.211,66</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 Passivo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Eliminazione debiti v/Ojetti 134 (compensazione)</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Calibri" w:cs="Calibri" w:eastAsia="Calibri" w:hAnsi="Calibri"/>
                <w:b w:val="false"/>
                <w:bCs w:val="false"/>
                <w:color w:val="00703C"/>
                <w:sz w:val="20"/>
                <w:szCs w:val="20"/>
              </w:rPr>
              <w:t xml:space="preserve">EUR 880.000,00</w:t>
            </w:r>
          </w:p>
        </w:tc>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 Passivo</w:t>
            </w:r>
          </w:p>
        </w:tc>
      </w:tr>
      <w:tr>
        <w:tc>
          <w:tcPr>
            <w:tcW w:type="dxa" w:w="45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EFFETTO NETTO SU PATRIMONIO NETTO (stima)</w:t>
            </w:r>
          </w:p>
        </w:tc>
        <w:tc>
          <w:tcPr>
            <w:tcW w:type="dxa" w:w="225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right"/>
            </w:pPr>
            <w:r>
              <w:rPr>
                <w:rFonts w:ascii="Calibri" w:cs="Calibri" w:eastAsia="Calibri" w:hAnsi="Calibri"/>
                <w:b/>
                <w:bCs/>
                <w:color w:val="00703C"/>
                <w:sz w:val="20"/>
                <w:szCs w:val="20"/>
              </w:rPr>
              <w:t xml:space="preserve">+ EUR 155.158,13</w:t>
            </w:r>
          </w:p>
        </w:tc>
        <w:tc>
          <w:tcPr>
            <w:tcW w:type="dxa" w:w="225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Plusvalenza</w:t>
            </w:r>
          </w:p>
        </w:tc>
      </w:tr>
    </w:tbl>
    <w:p>
      <w:pPr>
        <w:spacing w:after="120" w:line="300"/>
        <w:jc w:val="both"/>
      </w:pPr>
      <w:r>
        <w:rPr>
          <w:rFonts w:ascii="Calibri" w:cs="Calibri" w:eastAsia="Calibri" w:hAnsi="Calibri"/>
          <w:sz w:val="22"/>
          <w:szCs w:val="22"/>
        </w:rPr>
        <w:t xml:space="preserve"/>
      </w:r>
    </w:p>
    <w:p>
      <w:pPr>
        <w:spacing w:after="120" w:line="300"/>
        <w:jc w:val="both"/>
      </w:pPr>
      <w:r>
        <w:rPr>
          <w:rFonts w:ascii="Calibri" w:cs="Calibri" w:eastAsia="Calibri" w:hAnsi="Calibri"/>
          <w:b/>
          <w:bCs/>
          <w:sz w:val="22"/>
          <w:szCs w:val="22"/>
        </w:rPr>
        <w:t xml:space="preserve">Effetto a Conto Economico: </w:t>
      </w:r>
      <w:r>
        <w:rPr>
          <w:rFonts w:ascii="Calibri" w:cs="Calibri" w:eastAsia="Calibri" w:hAnsi="Calibri"/>
          <w:sz w:val="22"/>
          <w:szCs w:val="22"/>
        </w:rPr>
        <w:t xml:space="preserve">la differenza tra valore netto contabile dell'asset stornato e debiti eliminati genera una sopravvenienza attiva di stima EUR 155.158, che andra' valutata sotto il profilo della tassabilita' ai fini IRES. Trattandosi di un'operazione tra parti correlate, va inoltre considerato il rispetto del valore normale ai sensi dell'art. 110 TUIR.</w:t>
      </w:r>
    </w:p>
    <w:p>
      <w:pPr>
        <w:pStyle w:val="Heading2"/>
        <w:spacing w:after="120" w:before="240"/>
      </w:pPr>
      <w:r>
        <w:rPr>
          <w:rFonts w:ascii="Calibri" w:cs="Calibri" w:eastAsia="Calibri" w:hAnsi="Calibri"/>
          <w:b/>
          <w:bCs/>
          <w:color w:val="2E5496"/>
          <w:sz w:val="24"/>
          <w:szCs w:val="24"/>
        </w:rPr>
        <w:t xml:space="preserve">3.4 Effetti collaterali positivi</w:t>
      </w:r>
    </w:p>
    <w:p>
      <w:pPr>
        <w:pStyle w:val="ListParagraph"/>
        <w:numPr>
          <w:ilvl w:val="0"/>
          <w:numId w:val="2"/>
        </w:numPr>
        <w:spacing w:after="80" w:line="280"/>
      </w:pPr>
      <w:r>
        <w:rPr>
          <w:rFonts w:ascii="Calibri" w:cs="Calibri" w:eastAsia="Calibri" w:hAnsi="Calibri"/>
          <w:b/>
          <w:bCs/>
          <w:sz w:val="22"/>
          <w:szCs w:val="22"/>
        </w:rPr>
        <w:t xml:space="preserve">Semplificazione del bilancio: </w:t>
      </w:r>
      <w:r>
        <w:rPr>
          <w:rFonts w:ascii="Calibri" w:cs="Calibri" w:eastAsia="Calibri" w:hAnsi="Calibri"/>
          <w:sz w:val="22"/>
          <w:szCs w:val="22"/>
        </w:rPr>
        <w:t xml:space="preserve">eliminazione di una voce di immobilizzazione immateriale di significativa entita' e del relativo debito ipotecario, con conseguente semplificazione della successiva operazione di scissione.</w:t>
      </w:r>
    </w:p>
    <w:p>
      <w:pPr>
        <w:pStyle w:val="ListParagraph"/>
        <w:numPr>
          <w:ilvl w:val="0"/>
          <w:numId w:val="2"/>
        </w:numPr>
        <w:spacing w:after="80" w:line="280"/>
      </w:pPr>
      <w:r>
        <w:rPr>
          <w:rFonts w:ascii="Calibri" w:cs="Calibri" w:eastAsia="Calibri" w:hAnsi="Calibri"/>
          <w:b/>
          <w:bCs/>
          <w:sz w:val="22"/>
          <w:szCs w:val="22"/>
        </w:rPr>
        <w:t xml:space="preserve">Eliminazione covenant bancari: </w:t>
      </w:r>
      <w:r>
        <w:rPr>
          <w:rFonts w:ascii="Calibri" w:cs="Calibri" w:eastAsia="Calibri" w:hAnsi="Calibri"/>
          <w:sz w:val="22"/>
          <w:szCs w:val="22"/>
        </w:rPr>
        <w:t xml:space="preserve">il mutuo BPM contiene presumibilmente clausole di change of control che si sarebbero attivate in caso di scissione; la sua estinzione anticipata elimina questo rischio.</w:t>
      </w:r>
    </w:p>
    <w:p>
      <w:pPr>
        <w:pStyle w:val="ListParagraph"/>
        <w:numPr>
          <w:ilvl w:val="0"/>
          <w:numId w:val="2"/>
        </w:numPr>
        <w:spacing w:after="80" w:line="280"/>
      </w:pPr>
      <w:r>
        <w:rPr>
          <w:rFonts w:ascii="Calibri" w:cs="Calibri" w:eastAsia="Calibri" w:hAnsi="Calibri"/>
          <w:b/>
          <w:bCs/>
          <w:sz w:val="22"/>
          <w:szCs w:val="22"/>
        </w:rPr>
        <w:t xml:space="preserve">Trasformazione di costo capitalizzato in costo corrente: </w:t>
      </w:r>
      <w:r>
        <w:rPr>
          <w:rFonts w:ascii="Calibri" w:cs="Calibri" w:eastAsia="Calibri" w:hAnsi="Calibri"/>
          <w:sz w:val="22"/>
          <w:szCs w:val="22"/>
        </w:rPr>
        <w:t xml:space="preserve">l'ammortamento dell'usufrutto (oneri pluriennali) viene sostituito da un canone di locazione deducibile per cassa, con effetto positivo sulla flessibilita' economica.</w:t>
      </w:r>
    </w:p>
    <w:p>
      <w:pPr>
        <w:pStyle w:val="Heading1"/>
        <w:spacing w:after="180" w:before="360"/>
      </w:pPr>
      <w:r>
        <w:rPr>
          <w:rFonts w:ascii="Calibri" w:cs="Calibri" w:eastAsia="Calibri" w:hAnsi="Calibri"/>
          <w:b/>
          <w:bCs/>
          <w:color w:val="1F3864"/>
          <w:sz w:val="28"/>
          <w:szCs w:val="28"/>
        </w:rPr>
        <w:t xml:space="preserve">4. Fase 2 - Scissione parziale proporzionale (novembre-dicembre 2026)</w:t>
      </w:r>
    </w:p>
    <w:p>
      <w:pPr>
        <w:pStyle w:val="Heading2"/>
        <w:spacing w:after="120" w:before="240"/>
      </w:pPr>
      <w:r>
        <w:rPr>
          <w:rFonts w:ascii="Calibri" w:cs="Calibri" w:eastAsia="Calibri" w:hAnsi="Calibri"/>
          <w:b/>
          <w:bCs/>
          <w:color w:val="2E5496"/>
          <w:sz w:val="24"/>
          <w:szCs w:val="24"/>
        </w:rPr>
        <w:t xml:space="preserve">4.1 Tipologia di operazione</w:t>
      </w:r>
    </w:p>
    <w:p>
      <w:pPr>
        <w:spacing w:after="120" w:line="300"/>
        <w:jc w:val="both"/>
      </w:pPr>
      <w:r>
        <w:rPr>
          <w:rFonts w:ascii="Calibri" w:cs="Calibri" w:eastAsia="Calibri" w:hAnsi="Calibri"/>
          <w:b/>
          <w:bCs/>
          <w:sz w:val="22"/>
          <w:szCs w:val="22"/>
        </w:rPr>
        <w:t xml:space="preserve">Tipologia: </w:t>
      </w:r>
      <w:r>
        <w:rPr>
          <w:rFonts w:ascii="Calibri" w:cs="Calibri" w:eastAsia="Calibri" w:hAnsi="Calibri"/>
          <w:sz w:val="22"/>
          <w:szCs w:val="22"/>
        </w:rPr>
        <w:t xml:space="preserve">scissione parziale proporzionale ex art. 2506 c.c., con assegnazione di un ramo d'azienda a societa' beneficiaria di nuova costituzione (Newco SSD).</w:t>
      </w:r>
    </w:p>
    <w:p>
      <w:pPr>
        <w:spacing w:after="120" w:line="300"/>
        <w:jc w:val="both"/>
      </w:pPr>
      <w:r>
        <w:rPr>
          <w:rFonts w:ascii="Calibri" w:cs="Calibri" w:eastAsia="Calibri" w:hAnsi="Calibri"/>
          <w:b/>
          <w:bCs/>
          <w:sz w:val="22"/>
          <w:szCs w:val="22"/>
        </w:rPr>
        <w:t xml:space="preserve">Razionale: </w:t>
      </w:r>
      <w:r>
        <w:rPr>
          <w:rFonts w:ascii="Calibri" w:cs="Calibri" w:eastAsia="Calibri" w:hAnsi="Calibri"/>
          <w:sz w:val="22"/>
          <w:szCs w:val="22"/>
        </w:rPr>
        <w:t xml:space="preserve">la scissione consente di trasferire le riserve vincolate, le attivita' sportive junior e le affiliazioni federali a una nuova SSD che mantiene integralmente la qualifica sportiva e gli obblighi statutari di non lucrativita'. Il residuo della societa' scissa (Point 2000 SRL) puo' quindi essere oggetto di modifica statutaria con perdita della qualifica sportiva e trasformazione in SRL commerciale ordinaria, </w:t>
      </w:r>
      <w:r>
        <w:rPr>
          <w:rFonts w:ascii="Calibri" w:cs="Calibri" w:eastAsia="Calibri" w:hAnsi="Calibri"/>
          <w:b/>
          <w:bCs/>
          <w:sz w:val="22"/>
          <w:szCs w:val="22"/>
        </w:rPr>
        <w:t xml:space="preserve">senza generare materia imponibile sulle riserve devolute.</w:t>
      </w:r>
    </w:p>
    <w:p>
      <w:pPr>
        <w:pStyle w:val="Heading2"/>
        <w:spacing w:after="120" w:before="240"/>
      </w:pPr>
      <w:r>
        <w:rPr>
          <w:rFonts w:ascii="Calibri" w:cs="Calibri" w:eastAsia="Calibri" w:hAnsi="Calibri"/>
          <w:b/>
          <w:bCs/>
          <w:color w:val="2E5496"/>
          <w:sz w:val="24"/>
          <w:szCs w:val="24"/>
        </w:rPr>
        <w:t xml:space="preserve">4.2 Schema di assegnazione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Voce</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Newco SSD (ramo sportivo)</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Point 2000 SRL (ramo commerciale)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Riserve vincolate (PN)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703C"/>
                <w:sz w:val="20"/>
                <w:szCs w:val="20"/>
              </w:rPr>
              <w:t xml:space="preserve">EUR 141.250,35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EUR 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Attività</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Scuola nuoto, baby nuoto, agonistico, pallanuoto, salvamento, sincronizzato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Fitness adulti, acqua fitness, sala pesi, personal training, wellness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Affiliazioni federali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18"/>
                <w:szCs w:val="18"/>
              </w:rPr>
              <w:t xml:space="preserve">FIN e altre federazioni nuoto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18"/>
                <w:szCs w:val="18"/>
              </w:rPr>
              <w:t xml:space="preserve">Nessuna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Personale istruttore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Istruttori nuoto e tecnici (cococo sportivo)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Trainer fitness (P.IVA forfettaria / cococo ordinario)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Rapporto immobile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val="false"/>
                <w:bCs w:val="false"/>
                <w:color w:val="000000"/>
                <w:sz w:val="18"/>
                <w:szCs w:val="18"/>
              </w:rPr>
              <w:t xml:space="preserve">Sub-locazione/uso da Point 2000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Locazione da Ojetti 134 SRL (nuovo contratto)</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Forma giuridica</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18"/>
                <w:szCs w:val="18"/>
              </w:rPr>
              <w:t xml:space="preserve">SSD a r.l.</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18"/>
                <w:szCs w:val="18"/>
              </w:rPr>
              <w:t xml:space="preserve">SRL ordinaria commerciale</w:t>
            </w:r>
          </w:p>
        </w:tc>
      </w:tr>
    </w:tbl>
    <w:p>
      <w:pPr>
        <w:spacing w:after="120" w:line="300"/>
        <w:jc w:val="both"/>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5496"/>
          <w:sz w:val="24"/>
          <w:szCs w:val="24"/>
        </w:rPr>
        <w:t xml:space="preserve">4.3 Continuita' del vincolo di destinazione</w:t>
      </w:r>
    </w:p>
    <w:p>
      <w:pPr>
        <w:spacing w:after="120" w:line="300"/>
        <w:jc w:val="both"/>
      </w:pPr>
      <w:r>
        <w:rPr>
          <w:rFonts w:ascii="Calibri" w:cs="Calibri" w:eastAsia="Calibri" w:hAnsi="Calibri"/>
          <w:sz w:val="22"/>
          <w:szCs w:val="22"/>
        </w:rPr>
        <w:t xml:space="preserve">Lo statuto di Newco SSD dovra' replicare integralmente le clausole di non lucrativita' e devoluzione patrimonio sportivo previste dallo statuto attuale di Point 2000 (artt. 3, 12, 13 lett. g, 15). In particolare:</w:t>
      </w:r>
    </w:p>
    <w:p>
      <w:pPr>
        <w:pStyle w:val="ListParagraph"/>
        <w:numPr>
          <w:ilvl w:val="0"/>
          <w:numId w:val="3"/>
        </w:numPr>
        <w:spacing w:after="80" w:line="280"/>
      </w:pPr>
      <w:r>
        <w:rPr>
          <w:rFonts w:ascii="Calibri" w:cs="Calibri" w:eastAsia="Calibri" w:hAnsi="Calibri"/>
          <w:sz w:val="22"/>
          <w:szCs w:val="22"/>
        </w:rPr>
        <w:t xml:space="preserve">Costituzione come SSD a r.l. ai sensi degli artt. 7 e 8 D.Lgs. 36/2021, con iscrizione al Registro Nazionale delle Attivita' Sportive Dilettantistiche (RASD);</w:t>
      </w:r>
    </w:p>
    <w:p>
      <w:pPr>
        <w:pStyle w:val="ListParagraph"/>
        <w:numPr>
          <w:ilvl w:val="0"/>
          <w:numId w:val="3"/>
        </w:numPr>
        <w:spacing w:after="80" w:line="280"/>
      </w:pPr>
      <w:r>
        <w:rPr>
          <w:rFonts w:ascii="Calibri" w:cs="Calibri" w:eastAsia="Calibri" w:hAnsi="Calibri"/>
          <w:sz w:val="22"/>
          <w:szCs w:val="22"/>
        </w:rPr>
        <w:t xml:space="preserve">Statuto con clausola di assenza di scopo di lucro, divieto di distribuzione utili (anche indiretta), obbligo di reinvestimento utili e devoluzione del patrimonio in caso di scioglimento ad altra SSD/ASD;</w:t>
      </w:r>
    </w:p>
    <w:p>
      <w:pPr>
        <w:pStyle w:val="ListParagraph"/>
        <w:numPr>
          <w:ilvl w:val="0"/>
          <w:numId w:val="3"/>
        </w:numPr>
        <w:spacing w:after="80" w:line="280"/>
      </w:pPr>
      <w:r>
        <w:rPr>
          <w:rFonts w:ascii="Calibri" w:cs="Calibri" w:eastAsia="Calibri" w:hAnsi="Calibri"/>
          <w:sz w:val="22"/>
          <w:szCs w:val="22"/>
        </w:rPr>
        <w:t xml:space="preserve">Trasferimento delle affiliazioni federali (FIN per nuoto, pallanuoto, salvamento, sincronizzato) in coordinamento con la federazione, prima del perfezionamento della scissione;</w:t>
      </w:r>
    </w:p>
    <w:p>
      <w:pPr>
        <w:pStyle w:val="ListParagraph"/>
        <w:numPr>
          <w:ilvl w:val="0"/>
          <w:numId w:val="3"/>
        </w:numPr>
        <w:spacing w:after="80" w:line="280"/>
      </w:pPr>
      <w:r>
        <w:rPr>
          <w:rFonts w:ascii="Calibri" w:cs="Calibri" w:eastAsia="Calibri" w:hAnsi="Calibri"/>
          <w:sz w:val="22"/>
          <w:szCs w:val="22"/>
        </w:rPr>
        <w:t xml:space="preserve">Migrazione tesseramenti atleti e tecnici nelle finestre federali utili, senza soluzione di continuita' per la stagione agonistica.</w:t>
      </w:r>
    </w:p>
    <w:p>
      <w:pPr>
        <w:pStyle w:val="Heading1"/>
        <w:spacing w:after="180" w:before="360"/>
      </w:pPr>
      <w:r>
        <w:rPr>
          <w:rFonts w:ascii="Calibri" w:cs="Calibri" w:eastAsia="Calibri" w:hAnsi="Calibri"/>
          <w:b/>
          <w:bCs/>
          <w:color w:val="1F3864"/>
          <w:sz w:val="28"/>
          <w:szCs w:val="28"/>
        </w:rPr>
        <w:t xml:space="preserve">5. Profili fiscali da approfondire</w:t>
      </w:r>
    </w:p>
    <w:p>
      <w:pPr>
        <w:pStyle w:val="Heading2"/>
        <w:spacing w:after="120" w:before="240"/>
      </w:pPr>
      <w:r>
        <w:rPr>
          <w:rFonts w:ascii="Calibri" w:cs="Calibri" w:eastAsia="Calibri" w:hAnsi="Calibri"/>
          <w:b/>
          <w:bCs/>
          <w:color w:val="2E5496"/>
          <w:sz w:val="24"/>
          <w:szCs w:val="24"/>
        </w:rPr>
        <w:t xml:space="preserve">5.1 Operazione di chiusura usufrutto</w:t>
      </w:r>
    </w:p>
    <w:p>
      <w:pPr>
        <w:pStyle w:val="ListParagraph"/>
        <w:numPr>
          <w:ilvl w:val="0"/>
          <w:numId w:val="2"/>
        </w:numPr>
        <w:spacing w:after="80" w:line="280"/>
      </w:pPr>
      <w:r>
        <w:rPr>
          <w:rFonts w:ascii="Calibri" w:cs="Calibri" w:eastAsia="Calibri" w:hAnsi="Calibri"/>
          <w:b/>
          <w:bCs/>
          <w:sz w:val="22"/>
          <w:szCs w:val="22"/>
        </w:rPr>
        <w:t xml:space="preserve">Sopravvenienza attiva: </w:t>
      </w:r>
      <w:r>
        <w:rPr>
          <w:rFonts w:ascii="Calibri" w:cs="Calibri" w:eastAsia="Calibri" w:hAnsi="Calibri"/>
          <w:sz w:val="22"/>
          <w:szCs w:val="22"/>
        </w:rPr>
        <w:t xml:space="preserve">trattamento ai fini IRES della plusvalenza stimata di circa EUR 155.000 derivante dalla compensazione asset/passivita'; valutazione della possibile applicazione del regime di esenzione/forfettizzazione vigente per le SSD nei limiti dell'art. 148 TUIR.</w:t>
      </w:r>
    </w:p>
    <w:p>
      <w:pPr>
        <w:pStyle w:val="ListParagraph"/>
        <w:numPr>
          <w:ilvl w:val="0"/>
          <w:numId w:val="2"/>
        </w:numPr>
        <w:spacing w:after="80" w:line="280"/>
      </w:pPr>
      <w:r>
        <w:rPr>
          <w:rFonts w:ascii="Calibri" w:cs="Calibri" w:eastAsia="Calibri" w:hAnsi="Calibri"/>
          <w:b/>
          <w:bCs/>
          <w:sz w:val="22"/>
          <w:szCs w:val="22"/>
        </w:rPr>
        <w:t xml:space="preserve">Operazioni infragruppo: </w:t>
      </w:r>
      <w:r>
        <w:rPr>
          <w:rFonts w:ascii="Calibri" w:cs="Calibri" w:eastAsia="Calibri" w:hAnsi="Calibri"/>
          <w:sz w:val="22"/>
          <w:szCs w:val="22"/>
        </w:rPr>
        <w:t xml:space="preserve">rispetto del valore normale ex art. 110 TUIR per la valutazione del nuovo canone di locazione tra Point 2000 e Ojetti 134; necessita' di perizia di stima a supporto.</w:t>
      </w:r>
    </w:p>
    <w:p>
      <w:pPr>
        <w:pStyle w:val="ListParagraph"/>
        <w:numPr>
          <w:ilvl w:val="0"/>
          <w:numId w:val="2"/>
        </w:numPr>
        <w:spacing w:after="80" w:line="280"/>
      </w:pPr>
      <w:r>
        <w:rPr>
          <w:rFonts w:ascii="Calibri" w:cs="Calibri" w:eastAsia="Calibri" w:hAnsi="Calibri"/>
          <w:b/>
          <w:bCs/>
          <w:sz w:val="22"/>
          <w:szCs w:val="22"/>
        </w:rPr>
        <w:t xml:space="preserve">Imposte indirette: </w:t>
      </w:r>
      <w:r>
        <w:rPr>
          <w:rFonts w:ascii="Calibri" w:cs="Calibri" w:eastAsia="Calibri" w:hAnsi="Calibri"/>
          <w:sz w:val="22"/>
          <w:szCs w:val="22"/>
        </w:rPr>
        <w:t xml:space="preserve">trattamento ai fini imposta di registro dell'atto di restituzione del diritto di usufrutto e del nuovo contratto di locazione; profili IVA dell'operazione.</w:t>
      </w:r>
    </w:p>
    <w:p>
      <w:pPr>
        <w:pStyle w:val="ListParagraph"/>
        <w:numPr>
          <w:ilvl w:val="0"/>
          <w:numId w:val="2"/>
        </w:numPr>
        <w:spacing w:after="80" w:line="280"/>
      </w:pPr>
      <w:r>
        <w:rPr>
          <w:rFonts w:ascii="Calibri" w:cs="Calibri" w:eastAsia="Calibri" w:hAnsi="Calibri"/>
          <w:b/>
          <w:bCs/>
          <w:sz w:val="22"/>
          <w:szCs w:val="22"/>
        </w:rPr>
        <w:t xml:space="preserve">Accollo mutuo BPM: </w:t>
      </w:r>
      <w:r>
        <w:rPr>
          <w:rFonts w:ascii="Calibri" w:cs="Calibri" w:eastAsia="Calibri" w:hAnsi="Calibri"/>
          <w:sz w:val="22"/>
          <w:szCs w:val="22"/>
        </w:rPr>
        <w:t xml:space="preserve">verifica preventiva con la banca delle condizioni di consenso all'accollo da parte di Ojetti 134; eventuale rinegoziazione del rapporto e impatto su garanzie ipotecarie.</w:t>
      </w:r>
    </w:p>
    <w:p>
      <w:pPr>
        <w:pStyle w:val="Heading2"/>
        <w:spacing w:after="120" w:before="240"/>
      </w:pPr>
      <w:r>
        <w:rPr>
          <w:rFonts w:ascii="Calibri" w:cs="Calibri" w:eastAsia="Calibri" w:hAnsi="Calibri"/>
          <w:b/>
          <w:bCs/>
          <w:color w:val="2E5496"/>
          <w:sz w:val="24"/>
          <w:szCs w:val="24"/>
        </w:rPr>
        <w:t xml:space="preserve">5.2 Operazione di scissione</w:t>
      </w:r>
    </w:p>
    <w:p>
      <w:pPr>
        <w:pStyle w:val="ListParagraph"/>
        <w:numPr>
          <w:ilvl w:val="0"/>
          <w:numId w:val="2"/>
        </w:numPr>
        <w:spacing w:after="80" w:line="280"/>
      </w:pPr>
      <w:r>
        <w:rPr>
          <w:rFonts w:ascii="Calibri" w:cs="Calibri" w:eastAsia="Calibri" w:hAnsi="Calibri"/>
          <w:b/>
          <w:bCs/>
          <w:sz w:val="22"/>
          <w:szCs w:val="22"/>
        </w:rPr>
        <w:t xml:space="preserve">Neutralita' fiscale: </w:t>
      </w:r>
      <w:r>
        <w:rPr>
          <w:rFonts w:ascii="Calibri" w:cs="Calibri" w:eastAsia="Calibri" w:hAnsi="Calibri"/>
          <w:sz w:val="22"/>
          <w:szCs w:val="22"/>
        </w:rPr>
        <w:t xml:space="preserve">conferma dell'applicabilita' integrale dell'art. 173 TUIR (neutralita' della scissione) nel caso specifico in cui la scissa, post-scissione, perda la qualifica di ente non commerciale.</w:t>
      </w:r>
    </w:p>
    <w:p>
      <w:pPr>
        <w:pStyle w:val="ListParagraph"/>
        <w:numPr>
          <w:ilvl w:val="0"/>
          <w:numId w:val="2"/>
        </w:numPr>
        <w:spacing w:after="80" w:line="280"/>
      </w:pPr>
      <w:r>
        <w:rPr>
          <w:rFonts w:ascii="Calibri" w:cs="Calibri" w:eastAsia="Calibri" w:hAnsi="Calibri"/>
          <w:b/>
          <w:bCs/>
          <w:sz w:val="22"/>
          <w:szCs w:val="22"/>
        </w:rPr>
        <w:t xml:space="preserve">Riserve in sospensione d'imposta: </w:t>
      </w:r>
      <w:r>
        <w:rPr>
          <w:rFonts w:ascii="Calibri" w:cs="Calibri" w:eastAsia="Calibri" w:hAnsi="Calibri"/>
          <w:sz w:val="22"/>
          <w:szCs w:val="22"/>
        </w:rPr>
        <w:t xml:space="preserve">verifica del regime fiscale delle riserve trasferite alla beneficiaria SSD, con particolare riguardo alla loro provenienza (regime ex L. 398/1991 vs ordinario).</w:t>
      </w:r>
    </w:p>
    <w:p>
      <w:pPr>
        <w:pStyle w:val="ListParagraph"/>
        <w:numPr>
          <w:ilvl w:val="0"/>
          <w:numId w:val="2"/>
        </w:numPr>
        <w:spacing w:after="80" w:line="280"/>
      </w:pPr>
      <w:r>
        <w:rPr>
          <w:rFonts w:ascii="Calibri" w:cs="Calibri" w:eastAsia="Calibri" w:hAnsi="Calibri"/>
          <w:b/>
          <w:bCs/>
          <w:sz w:val="22"/>
          <w:szCs w:val="22"/>
        </w:rPr>
        <w:t xml:space="preserve">Recupero agevolazioni pregresse: </w:t>
      </w:r>
      <w:r>
        <w:rPr>
          <w:rFonts w:ascii="Calibri" w:cs="Calibri" w:eastAsia="Calibri" w:hAnsi="Calibri"/>
          <w:sz w:val="22"/>
          <w:szCs w:val="22"/>
        </w:rPr>
        <w:t xml:space="preserve">valutazione del rischio di recupero da parte dell'Agenzia delle Entrate di imposte non versate negli anni di vigenza della qualifica sportiva sul residuo Point 2000 trasformato in SRL commerciale.</w:t>
      </w:r>
    </w:p>
    <w:p>
      <w:pPr>
        <w:pStyle w:val="Heading2"/>
        <w:spacing w:after="120" w:before="240"/>
      </w:pPr>
      <w:r>
        <w:rPr>
          <w:rFonts w:ascii="Calibri" w:cs="Calibri" w:eastAsia="Calibri" w:hAnsi="Calibri"/>
          <w:b/>
          <w:bCs/>
          <w:color w:val="2E5496"/>
          <w:sz w:val="24"/>
          <w:szCs w:val="24"/>
        </w:rPr>
        <w:t xml:space="preserve">5.3 Risconti passivi non rilevati</w:t>
      </w:r>
    </w:p>
    <w:p>
      <w:pPr>
        <w:spacing w:after="120" w:line="300"/>
        <w:jc w:val="both"/>
      </w:pPr>
      <w:r>
        <w:rPr>
          <w:rFonts w:ascii="Calibri" w:cs="Calibri" w:eastAsia="Calibri" w:hAnsi="Calibri"/>
          <w:sz w:val="22"/>
          <w:szCs w:val="22"/>
        </w:rPr>
        <w:t xml:space="preserve">Il bilancio 2025 non rileva risconti passivi sugli abbonamenti annuali pagati e di competenza dell'esercizio successivo (stimati in circa </w:t>
      </w:r>
      <w:r>
        <w:rPr>
          <w:rFonts w:ascii="Calibri" w:cs="Calibri" w:eastAsia="Calibri" w:hAnsi="Calibri"/>
          <w:b/>
          <w:bCs/>
          <w:sz w:val="22"/>
          <w:szCs w:val="22"/>
        </w:rPr>
        <w:t xml:space="preserve">EUR 330.000</w:t>
      </w:r>
      <w:r>
        <w:rPr>
          <w:rFonts w:ascii="Calibri" w:cs="Calibri" w:eastAsia="Calibri" w:hAnsi="Calibri"/>
          <w:sz w:val="22"/>
          <w:szCs w:val="22"/>
        </w:rPr>
        <w:t xml:space="preserve">, riferiti sia al ramo fitness adulti sia al ramo junior). Una stima preliminare del corrispondente importo al 31.12.2024 e' pari a </w:t>
      </w:r>
      <w:r>
        <w:rPr>
          <w:rFonts w:ascii="Calibri" w:cs="Calibri" w:eastAsia="Calibri" w:hAnsi="Calibri"/>
          <w:b/>
          <w:bCs/>
          <w:sz w:val="22"/>
          <w:szCs w:val="22"/>
        </w:rPr>
        <w:t xml:space="preserve">EUR 250.000</w:t>
      </w:r>
      <w:r>
        <w:rPr>
          <w:rFonts w:ascii="Calibri" w:cs="Calibri" w:eastAsia="Calibri" w:hAnsi="Calibri"/>
          <w:sz w:val="22"/>
          <w:szCs w:val="22"/>
        </w:rPr>
        <w:t xml:space="preserve">. La prima rilevazione, secondo OIC 29, dovrebbe avvenire con correzione retroattiva del patrimonio netto di apertura per la quota di competenza degli esercizi precedenti, con impatto netto a Conto Economico 2025 limitato al delta annuale (circa EUR 80.000).</w:t>
      </w:r>
    </w:p>
    <w:p>
      <w:pPr>
        <w:spacing w:after="120" w:line="300"/>
        <w:jc w:val="both"/>
      </w:pPr>
      <w:r>
        <w:rPr>
          <w:rFonts w:ascii="Calibri" w:cs="Calibri" w:eastAsia="Calibri" w:hAnsi="Calibri"/>
          <w:sz w:val="22"/>
          <w:szCs w:val="22"/>
        </w:rPr>
        <w:t xml:space="preserve">Va valutato se sia opportuno effettuare la regolarizzazione contestualmente alla scissione, ripartendo gli importi tra le due entita' in base alla natura sottostante (fitness adulti -&gt; Point 2000 SRL; nuoto junior -&gt; Newco SSD).</w:t>
      </w:r>
    </w:p>
    <w:p>
      <w:pPr>
        <w:pStyle w:val="Heading1"/>
        <w:spacing w:after="180" w:before="360"/>
      </w:pPr>
      <w:r>
        <w:rPr>
          <w:rFonts w:ascii="Calibri" w:cs="Calibri" w:eastAsia="Calibri" w:hAnsi="Calibri"/>
          <w:b/>
          <w:bCs/>
          <w:color w:val="1F3864"/>
          <w:sz w:val="28"/>
          <w:szCs w:val="28"/>
        </w:rPr>
        <w:t xml:space="preserve">6. Quesiti per il consulente</w:t>
      </w:r>
    </w:p>
    <w:p>
      <w:pPr>
        <w:spacing w:after="120" w:line="300"/>
        <w:jc w:val="both"/>
      </w:pPr>
      <w:r>
        <w:rPr>
          <w:rFonts w:ascii="Calibri" w:cs="Calibri" w:eastAsia="Calibri" w:hAnsi="Calibri"/>
          <w:sz w:val="22"/>
          <w:szCs w:val="22"/>
        </w:rPr>
        <w:t xml:space="preserve">Ti chiedo di esprimerti, possibilmente per iscritto, sui seguenti punti, in ordine di priorita':</w:t>
      </w:r>
    </w:p>
    <w:p>
      <w:pPr>
        <w:pStyle w:val="ListParagraph"/>
        <w:numPr>
          <w:ilvl w:val="0"/>
          <w:numId w:val="2"/>
        </w:numPr>
        <w:spacing w:after="80" w:line="280"/>
      </w:pPr>
      <w:r>
        <w:rPr>
          <w:rFonts w:ascii="Calibri" w:cs="Calibri" w:eastAsia="Calibri" w:hAnsi="Calibri"/>
          <w:b/>
          <w:bCs/>
          <w:sz w:val="22"/>
          <w:szCs w:val="22"/>
        </w:rPr>
        <w:t xml:space="preserve">Q1 - Sequenza operativa: </w:t>
      </w:r>
      <w:r>
        <w:rPr>
          <w:rFonts w:ascii="Calibri" w:cs="Calibri" w:eastAsia="Calibri" w:hAnsi="Calibri"/>
          <w:sz w:val="22"/>
          <w:szCs w:val="22"/>
        </w:rPr>
        <w:t xml:space="preserve">la sequenza Fase 1 (chiusura usufrutto, ottobre 2026) -&gt; Fase 2 (scissione, novembre-dicembre 2026) e' la piu' efficiente, o ritieni preferibile contestualizzare le due operazioni in un unico atto integrato?</w:t>
      </w:r>
    </w:p>
    <w:p>
      <w:pPr>
        <w:pStyle w:val="ListParagraph"/>
        <w:numPr>
          <w:ilvl w:val="0"/>
          <w:numId w:val="2"/>
        </w:numPr>
        <w:spacing w:after="80" w:line="280"/>
      </w:pPr>
      <w:r>
        <w:rPr>
          <w:rFonts w:ascii="Calibri" w:cs="Calibri" w:eastAsia="Calibri" w:hAnsi="Calibri"/>
          <w:b/>
          <w:bCs/>
          <w:sz w:val="22"/>
          <w:szCs w:val="22"/>
        </w:rPr>
        <w:t xml:space="preserve">Q2 - Trattamento fiscale operazione usufrutto: </w:t>
      </w:r>
      <w:r>
        <w:rPr>
          <w:rFonts w:ascii="Calibri" w:cs="Calibri" w:eastAsia="Calibri" w:hAnsi="Calibri"/>
          <w:sz w:val="22"/>
          <w:szCs w:val="22"/>
        </w:rPr>
        <w:t xml:space="preserve">la riconsegna del nuovo usufrutto con compensazione (accollo mutuo + eliminazione debiti commerciali) genera una sopravvenienza attiva di circa EUR 155.000. Qual e' il trattamento corretto ai fini IRES e IRAP, considerato che l'operazione avviene mentre Point 2000 e' ancora qualificata come SSD?</w:t>
      </w:r>
    </w:p>
    <w:p>
      <w:pPr>
        <w:pStyle w:val="ListParagraph"/>
        <w:numPr>
          <w:ilvl w:val="0"/>
          <w:numId w:val="2"/>
        </w:numPr>
        <w:spacing w:after="80" w:line="280"/>
      </w:pPr>
      <w:r>
        <w:rPr>
          <w:rFonts w:ascii="Calibri" w:cs="Calibri" w:eastAsia="Calibri" w:hAnsi="Calibri"/>
          <w:b/>
          <w:bCs/>
          <w:sz w:val="22"/>
          <w:szCs w:val="22"/>
        </w:rPr>
        <w:t xml:space="preserve">Q3 - Valore normale del nuovo canone di locazione: </w:t>
      </w:r>
      <w:r>
        <w:rPr>
          <w:rFonts w:ascii="Calibri" w:cs="Calibri" w:eastAsia="Calibri" w:hAnsi="Calibri"/>
          <w:sz w:val="22"/>
          <w:szCs w:val="22"/>
        </w:rPr>
        <w:t xml:space="preserve">essendo Point 2000 e Ojetti 134 parti correlate (entrambe riconducibili al medesimo socio), il nuovo canone di locazione dovra' rispettare il valore normale ex art. 110 TUIR. E' opportuna una perizia di stima a supporto? Quali sono i benchmark di mercato per immobili commerciali sportivi nella zona Talenti/Montesacro?</w:t>
      </w:r>
    </w:p>
    <w:p>
      <w:pPr>
        <w:pStyle w:val="ListParagraph"/>
        <w:numPr>
          <w:ilvl w:val="0"/>
          <w:numId w:val="2"/>
        </w:numPr>
        <w:spacing w:after="80" w:line="280"/>
      </w:pPr>
      <w:r>
        <w:rPr>
          <w:rFonts w:ascii="Calibri" w:cs="Calibri" w:eastAsia="Calibri" w:hAnsi="Calibri"/>
          <w:b/>
          <w:bCs/>
          <w:sz w:val="22"/>
          <w:szCs w:val="22"/>
        </w:rPr>
        <w:t xml:space="preserve">Q4 - Accollo mutuo BPM: </w:t>
      </w:r>
      <w:r>
        <w:rPr>
          <w:rFonts w:ascii="Calibri" w:cs="Calibri" w:eastAsia="Calibri" w:hAnsi="Calibri"/>
          <w:sz w:val="22"/>
          <w:szCs w:val="22"/>
        </w:rPr>
        <w:t xml:space="preserve">quali sono i passaggi formali necessari per l'accollo del mutuo da Point 2000 a Ojetti 134? Serve consenso preventivo della banca? E' preferibile un accollo liberatorio o un accollo cumulativo? Tempistiche stimate per il consenso bancario?</w:t>
      </w:r>
    </w:p>
    <w:p>
      <w:pPr>
        <w:pStyle w:val="ListParagraph"/>
        <w:numPr>
          <w:ilvl w:val="0"/>
          <w:numId w:val="2"/>
        </w:numPr>
        <w:spacing w:after="80" w:line="280"/>
      </w:pPr>
      <w:r>
        <w:rPr>
          <w:rFonts w:ascii="Calibri" w:cs="Calibri" w:eastAsia="Calibri" w:hAnsi="Calibri"/>
          <w:b/>
          <w:bCs/>
          <w:sz w:val="22"/>
          <w:szCs w:val="22"/>
        </w:rPr>
        <w:t xml:space="preserve">Q5 - Qualificazione della scissione: </w:t>
      </w:r>
      <w:r>
        <w:rPr>
          <w:rFonts w:ascii="Calibri" w:cs="Calibri" w:eastAsia="Calibri" w:hAnsi="Calibri"/>
          <w:sz w:val="22"/>
          <w:szCs w:val="22"/>
        </w:rPr>
        <w:t xml:space="preserve">la scissione parziale proporzionale con beneficiaria SSD di nuova costituzione, seguita dalla trasformazione del residuo in SRL commerciale, e' la fattispecie tecnica corretta o sono preferibili alternative (conferimento di ramo d'azienda, fusione inversa, costituzione di Newco con successiva cessione di ramo)?</w:t>
      </w:r>
    </w:p>
    <w:p>
      <w:pPr>
        <w:pStyle w:val="ListParagraph"/>
        <w:numPr>
          <w:ilvl w:val="0"/>
          <w:numId w:val="2"/>
        </w:numPr>
        <w:spacing w:after="80" w:line="280"/>
      </w:pPr>
      <w:r>
        <w:rPr>
          <w:rFonts w:ascii="Calibri" w:cs="Calibri" w:eastAsia="Calibri" w:hAnsi="Calibri"/>
          <w:b/>
          <w:bCs/>
          <w:sz w:val="22"/>
          <w:szCs w:val="22"/>
        </w:rPr>
        <w:t xml:space="preserve">Q6 - Devoluzione del patrimonio: </w:t>
      </w:r>
      <w:r>
        <w:rPr>
          <w:rFonts w:ascii="Calibri" w:cs="Calibri" w:eastAsia="Calibri" w:hAnsi="Calibri"/>
          <w:sz w:val="22"/>
          <w:szCs w:val="22"/>
        </w:rPr>
        <w:t xml:space="preserve">il trasferimento delle riserve vincolate da Point 2000 SSD a Newco SSD costituisce adempimento idoneo dell'obbligo statutario di devoluzione (artt. 13 lett. g e 15 dello statuto)? Serve autorizzazione preventiva del Dipartimento per lo Sport o comunicazione successiva al RASD?</w:t>
      </w:r>
    </w:p>
    <w:p>
      <w:pPr>
        <w:pStyle w:val="ListParagraph"/>
        <w:numPr>
          <w:ilvl w:val="0"/>
          <w:numId w:val="2"/>
        </w:numPr>
        <w:spacing w:after="80" w:line="280"/>
      </w:pPr>
      <w:r>
        <w:rPr>
          <w:rFonts w:ascii="Calibri" w:cs="Calibri" w:eastAsia="Calibri" w:hAnsi="Calibri"/>
          <w:b/>
          <w:bCs/>
          <w:sz w:val="22"/>
          <w:szCs w:val="22"/>
        </w:rPr>
        <w:t xml:space="preserve">Q7 - Recupero agevolazioni pregresse: </w:t>
      </w:r>
      <w:r>
        <w:rPr>
          <w:rFonts w:ascii="Calibri" w:cs="Calibri" w:eastAsia="Calibri" w:hAnsi="Calibri"/>
          <w:sz w:val="22"/>
          <w:szCs w:val="22"/>
        </w:rPr>
        <w:t xml:space="preserve">la trasformazione del residuo Point 2000 in SRL commerciale puo' attivare il recupero di imposte non versate negli anni di vigenza della qualifica SSD (regime 398/1991, esenzione IRES su quote istituzionali, IMU su impianto sportivo)? In quale misura?</w:t>
      </w:r>
    </w:p>
    <w:p>
      <w:pPr>
        <w:pStyle w:val="ListParagraph"/>
        <w:numPr>
          <w:ilvl w:val="0"/>
          <w:numId w:val="2"/>
        </w:numPr>
        <w:spacing w:after="80" w:line="280"/>
      </w:pPr>
      <w:r>
        <w:rPr>
          <w:rFonts w:ascii="Calibri" w:cs="Calibri" w:eastAsia="Calibri" w:hAnsi="Calibri"/>
          <w:b/>
          <w:bCs/>
          <w:sz w:val="22"/>
          <w:szCs w:val="22"/>
        </w:rPr>
        <w:t xml:space="preserve">Q8 - Risconti passivi e OIC 29: </w:t>
      </w:r>
      <w:r>
        <w:rPr>
          <w:rFonts w:ascii="Calibri" w:cs="Calibri" w:eastAsia="Calibri" w:hAnsi="Calibri"/>
          <w:sz w:val="22"/>
          <w:szCs w:val="22"/>
        </w:rPr>
        <w:t xml:space="preserve">come gestire la prima rilevazione dei risconti passivi (EUR 330k al 31.12.2025, stima EUR 250k al 31.12.2024) nel contesto delle due operazioni? E' opportuno effettuare la correzione retroattiva contestualmente alla Fase 2, ripartendo gli importi tra le due entita'?</w:t>
      </w:r>
    </w:p>
    <w:p>
      <w:pPr>
        <w:pStyle w:val="ListParagraph"/>
        <w:numPr>
          <w:ilvl w:val="0"/>
          <w:numId w:val="2"/>
        </w:numPr>
        <w:spacing w:after="80" w:line="280"/>
      </w:pPr>
      <w:r>
        <w:rPr>
          <w:rFonts w:ascii="Calibri" w:cs="Calibri" w:eastAsia="Calibri" w:hAnsi="Calibri"/>
          <w:b/>
          <w:bCs/>
          <w:sz w:val="22"/>
          <w:szCs w:val="22"/>
        </w:rPr>
        <w:t xml:space="preserve">Q9 - Compagine sociale e governance: </w:t>
      </w:r>
      <w:r>
        <w:rPr>
          <w:rFonts w:ascii="Calibri" w:cs="Calibri" w:eastAsia="Calibri" w:hAnsi="Calibri"/>
          <w:sz w:val="22"/>
          <w:szCs w:val="22"/>
        </w:rPr>
        <w:t xml:space="preserve">il socio unico (Maurizio Taruggi) puo' detenere il 100% di entrambe le entita' post-scissione? Vi sono incompatibilita' per la carica di Amministratore Unico in entrambe, considerato che Point 2000 SRL post-trasformazione non sara' piu' SSD e quindi non rientrera' nel divieto ex art. 11 D.Lgs. 36/2021?</w:t>
      </w:r>
    </w:p>
    <w:p>
      <w:pPr>
        <w:pStyle w:val="ListParagraph"/>
        <w:numPr>
          <w:ilvl w:val="0"/>
          <w:numId w:val="2"/>
        </w:numPr>
        <w:spacing w:after="80" w:line="280"/>
      </w:pPr>
      <w:r>
        <w:rPr>
          <w:rFonts w:ascii="Calibri" w:cs="Calibri" w:eastAsia="Calibri" w:hAnsi="Calibri"/>
          <w:b/>
          <w:bCs/>
          <w:sz w:val="22"/>
          <w:szCs w:val="22"/>
        </w:rPr>
        <w:t xml:space="preserve">Q10 - Imposte indirette sull'atto di scissione: </w:t>
      </w:r>
      <w:r>
        <w:rPr>
          <w:rFonts w:ascii="Calibri" w:cs="Calibri" w:eastAsia="Calibri" w:hAnsi="Calibri"/>
          <w:sz w:val="22"/>
          <w:szCs w:val="22"/>
        </w:rPr>
        <w:t xml:space="preserve">trattamento ai fini imposta di registro, ipotecaria e catastale dell'atto di scissione, considerato che, per effetto della Fase 1, gli asset oggetto di assegnazione si limitano ad attrezzature sportive, partecipazioni in eventi e contratti commerciali (senza piu' immobilizzazioni immateriali rilevanti).</w:t>
      </w:r>
    </w:p>
    <w:p>
      <w:pPr>
        <w:pStyle w:val="Heading1"/>
        <w:spacing w:after="180" w:before="360"/>
      </w:pPr>
      <w:r>
        <w:rPr>
          <w:rFonts w:ascii="Calibri" w:cs="Calibri" w:eastAsia="Calibri" w:hAnsi="Calibri"/>
          <w:b/>
          <w:bCs/>
          <w:color w:val="1F3864"/>
          <w:sz w:val="28"/>
          <w:szCs w:val="28"/>
        </w:rPr>
        <w:t xml:space="preserve">7. Tempistiche orientative</w:t>
      </w:r>
    </w:p>
    <w:p>
      <w:pPr>
        <w:spacing w:after="120" w:line="300"/>
        <w:jc w:val="both"/>
      </w:pPr>
      <w:r>
        <w:rPr>
          <w:rFonts w:ascii="Calibri" w:cs="Calibri" w:eastAsia="Calibri" w:hAnsi="Calibri"/>
          <w:sz w:val="22"/>
          <w:szCs w:val="22"/>
        </w:rPr>
        <w:t xml:space="preserve">La sequenza operativa che ipotizzo e' la seguente:</w:t>
      </w:r>
    </w:p>
    <w:p>
      <w:pPr>
        <w:pStyle w:val="ListParagraph"/>
        <w:numPr>
          <w:ilvl w:val="0"/>
          <w:numId w:val="3"/>
        </w:numPr>
        <w:spacing w:after="80" w:line="280"/>
      </w:pPr>
      <w:r>
        <w:rPr>
          <w:rFonts w:ascii="Calibri" w:cs="Calibri" w:eastAsia="Calibri" w:hAnsi="Calibri"/>
          <w:sz w:val="22"/>
          <w:szCs w:val="22"/>
        </w:rPr>
        <w:t xml:space="preserve">Aprile-maggio 2026: parere scritto del consulente sui quesiti sopra esposti, eventuale interpello all'Agenzia delle Entrate sui profili fiscali piu' incerti, interlocuzione preliminare con BPM per consenso accollo mutuo;</w:t>
      </w:r>
    </w:p>
    <w:p>
      <w:pPr>
        <w:pStyle w:val="ListParagraph"/>
        <w:numPr>
          <w:ilvl w:val="0"/>
          <w:numId w:val="3"/>
        </w:numPr>
        <w:spacing w:after="80" w:line="280"/>
      </w:pPr>
      <w:r>
        <w:rPr>
          <w:rFonts w:ascii="Calibri" w:cs="Calibri" w:eastAsia="Calibri" w:hAnsi="Calibri"/>
          <w:sz w:val="22"/>
          <w:szCs w:val="22"/>
        </w:rPr>
        <w:t xml:space="preserve">Giugno-luglio 2026: definizione contrattuale operazione usufrutto con Ojetti 134 (atto restituzione + accollo mutuo + nuovo contratto di locazione), redazione perizie di valutazione, approvazione FIN per migrazione affiliazioni;</w:t>
      </w:r>
    </w:p>
    <w:p>
      <w:pPr>
        <w:pStyle w:val="ListParagraph"/>
        <w:numPr>
          <w:ilvl w:val="0"/>
          <w:numId w:val="3"/>
        </w:numPr>
        <w:spacing w:after="80" w:line="280"/>
      </w:pPr>
      <w:r>
        <w:rPr>
          <w:rFonts w:ascii="Calibri" w:cs="Calibri" w:eastAsia="Calibri" w:hAnsi="Calibri"/>
          <w:sz w:val="22"/>
          <w:szCs w:val="22"/>
        </w:rPr>
        <w:t xml:space="preserve">Settembre-ottobre 2026: perfezionamento Fase 1 (atto notarile chiusura usufrutto e contestuale stipula nuova locazione), rilevazione contabile in Point 2000;</w:t>
      </w:r>
    </w:p>
    <w:p>
      <w:pPr>
        <w:pStyle w:val="ListParagraph"/>
        <w:numPr>
          <w:ilvl w:val="0"/>
          <w:numId w:val="3"/>
        </w:numPr>
        <w:spacing w:after="80" w:line="280"/>
      </w:pPr>
      <w:r>
        <w:rPr>
          <w:rFonts w:ascii="Calibri" w:cs="Calibri" w:eastAsia="Calibri" w:hAnsi="Calibri"/>
          <w:sz w:val="22"/>
          <w:szCs w:val="22"/>
        </w:rPr>
        <w:t xml:space="preserve">Ottobre-novembre 2026: redazione progetto di scissione, deposito presso Registro Imprese, decorso termine di opposizione creditori (60 giorni ex art. 2503 c.c.);</w:t>
      </w:r>
    </w:p>
    <w:p>
      <w:pPr>
        <w:pStyle w:val="ListParagraph"/>
        <w:numPr>
          <w:ilvl w:val="0"/>
          <w:numId w:val="3"/>
        </w:numPr>
        <w:spacing w:after="80" w:line="280"/>
      </w:pPr>
      <w:r>
        <w:rPr>
          <w:rFonts w:ascii="Calibri" w:cs="Calibri" w:eastAsia="Calibri" w:hAnsi="Calibri"/>
          <w:sz w:val="22"/>
          <w:szCs w:val="22"/>
        </w:rPr>
        <w:t xml:space="preserve">Dicembre 2026: atto notarile di scissione, contestuale costituzione Newco SSD, modifica statutaria di Point 2000 SRL con perdita qualifica sportiva, comunicazioni RASD e FIN.</w:t>
      </w:r>
    </w:p>
    <w:p>
      <w:pPr>
        <w:pStyle w:val="Heading1"/>
        <w:spacing w:after="180" w:before="360"/>
      </w:pPr>
      <w:r>
        <w:rPr>
          <w:rFonts w:ascii="Calibri" w:cs="Calibri" w:eastAsia="Calibri" w:hAnsi="Calibri"/>
          <w:b/>
          <w:bCs/>
          <w:color w:val="1F3864"/>
          <w:sz w:val="28"/>
          <w:szCs w:val="28"/>
        </w:rPr>
        <w:t xml:space="preserve">8. Conclusione</w:t>
      </w:r>
    </w:p>
    <w:p>
      <w:pPr>
        <w:spacing w:after="120" w:line="300"/>
        <w:jc w:val="both"/>
      </w:pPr>
      <w:r>
        <w:rPr>
          <w:rFonts w:ascii="Calibri" w:cs="Calibri" w:eastAsia="Calibri" w:hAnsi="Calibri"/>
          <w:sz w:val="22"/>
          <w:szCs w:val="22"/>
        </w:rPr>
        <w:t xml:space="preserve">Resto a disposizione per discutere i punti sopra esposti, anche con il coinvolgimento del notaio di fiducia (Dr. Fabio Orlandi, Studio Notarile in Via Ludovisi 35, Roma) per i profili procedurali. Considerata la complessita' dell'operazione e i tempi ristretti rispetto alla scadenza del 31.12.2026, ritengo opportuno fissare un primo incontro tecnico entro il mese di maggio 2026, per condividere il parere e definire la roadmap operativa di dettaglio.</w:t>
      </w:r>
    </w:p>
    <w:p>
      <w:pPr>
        <w:spacing w:after="120" w:line="300"/>
        <w:jc w:val="both"/>
      </w:pPr>
      <w:r>
        <w:rPr>
          <w:rFonts w:ascii="Calibri" w:cs="Calibri" w:eastAsia="Calibri" w:hAnsi="Calibri"/>
          <w:sz w:val="22"/>
          <w:szCs w:val="22"/>
        </w:rPr>
        <w:t xml:space="preserve">Ti ringrazio anticipatamente per l'attenzione.</w:t>
      </w:r>
    </w:p>
    <w:p>
      <w:pPr>
        <w:spacing w:before="480"/>
      </w:pPr>
      <w:r>
        <w:rPr>
          <w:rFonts w:ascii="Calibri" w:cs="Calibri" w:eastAsia="Calibri" w:hAnsi="Calibri"/>
          <w:sz w:val="22"/>
          <w:szCs w:val="22"/>
        </w:rPr>
        <w:t xml:space="preserve">Cordiali saluti,</w:t>
      </w:r>
    </w:p>
    <w:p>
      <w:pPr>
        <w:spacing w:before="360"/>
      </w:pPr>
      <w:r>
        <w:rPr>
          <w:rFonts w:ascii="Calibri" w:cs="Calibri" w:eastAsia="Calibri" w:hAnsi="Calibri"/>
          <w:b/>
          <w:bCs/>
          <w:sz w:val="22"/>
          <w:szCs w:val="22"/>
        </w:rPr>
        <w:t xml:space="preserve">Maurizio Taruggi</w:t>
      </w:r>
    </w:p>
    <w:p>
      <w:r>
        <w:rPr>
          <w:rFonts w:ascii="Calibri" w:cs="Calibri" w:eastAsia="Calibri" w:hAnsi="Calibri"/>
          <w:color w:val="595959"/>
          <w:sz w:val="18"/>
          <w:szCs w:val="18"/>
        </w:rPr>
        <w:t xml:space="preserve">Amministratore Unico - Point 2000 S.R.L. Societa' Sportiva Dilettantistica</w:t>
      </w:r>
    </w:p>
    <w:p>
      <w:r>
        <w:rPr>
          <w:rFonts w:ascii="Calibri" w:cs="Calibri" w:eastAsia="Calibri" w:hAnsi="Calibri"/>
          <w:color w:val="595959"/>
          <w:sz w:val="18"/>
          <w:szCs w:val="18"/>
        </w:rPr>
        <w:t xml:space="preserve">Founder - Ready 2 Digital S.r.l.</w:t>
      </w:r>
    </w:p>
    <w:p>
      <w:pPr>
        <w:pStyle w:val="Heading1"/>
        <w:spacing w:after="180" w:before="360"/>
      </w:pPr>
      <w:r>
        <w:rPr>
          <w:rFonts w:ascii="Calibri" w:cs="Calibri" w:eastAsia="Calibri" w:hAnsi="Calibri"/>
          <w:b/>
          <w:bCs/>
          <w:color w:val="1F3864"/>
          <w:sz w:val="28"/>
          <w:szCs w:val="28"/>
        </w:rPr>
        <w:t xml:space="preserve">Allegati</w:t>
      </w:r>
    </w:p>
    <w:p>
      <w:pPr>
        <w:pStyle w:val="ListParagraph"/>
        <w:numPr>
          <w:ilvl w:val="0"/>
          <w:numId w:val="2"/>
        </w:numPr>
        <w:spacing w:after="80" w:line="280"/>
      </w:pPr>
      <w:r>
        <w:rPr>
          <w:rFonts w:ascii="Calibri" w:cs="Calibri" w:eastAsia="Calibri" w:hAnsi="Calibri"/>
          <w:sz w:val="22"/>
          <w:szCs w:val="22"/>
        </w:rPr>
        <w:t xml:space="preserve">Bilancio provvisorio Point 2000 SSD al 31.12.2025</w:t>
      </w:r>
    </w:p>
    <w:p>
      <w:pPr>
        <w:pStyle w:val="ListParagraph"/>
        <w:numPr>
          <w:ilvl w:val="0"/>
          <w:numId w:val="2"/>
        </w:numPr>
        <w:spacing w:after="80" w:line="280"/>
      </w:pPr>
      <w:r>
        <w:rPr>
          <w:rFonts w:ascii="Calibri" w:cs="Calibri" w:eastAsia="Calibri" w:hAnsi="Calibri"/>
          <w:sz w:val="22"/>
          <w:szCs w:val="22"/>
        </w:rPr>
        <w:t xml:space="preserve">Statuto vigente Point 2000 SSD (versione 10.02.2026, rep. 31946)</w:t>
      </w:r>
    </w:p>
    <w:p>
      <w:pPr>
        <w:pStyle w:val="ListParagraph"/>
        <w:numPr>
          <w:ilvl w:val="0"/>
          <w:numId w:val="2"/>
        </w:numPr>
        <w:spacing w:after="80" w:line="280"/>
      </w:pPr>
      <w:r>
        <w:rPr>
          <w:rFonts w:ascii="Calibri" w:cs="Calibri" w:eastAsia="Calibri" w:hAnsi="Calibri"/>
          <w:sz w:val="22"/>
          <w:szCs w:val="22"/>
        </w:rPr>
        <w:t xml:space="preserve">Stima preliminare risconti passivi 2024-2025</w:t>
      </w:r>
    </w:p>
    <w:p>
      <w:pPr>
        <w:pStyle w:val="ListParagraph"/>
        <w:numPr>
          <w:ilvl w:val="0"/>
          <w:numId w:val="2"/>
        </w:numPr>
        <w:spacing w:after="80" w:line="280"/>
      </w:pPr>
      <w:r>
        <w:rPr>
          <w:rFonts w:ascii="Calibri" w:cs="Calibri" w:eastAsia="Calibri" w:hAnsi="Calibri"/>
          <w:sz w:val="22"/>
          <w:szCs w:val="22"/>
        </w:rPr>
        <w:t xml:space="preserve">Piano ammortamento mutuo BPM al 31.12.2025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tecnica - Riorganizzazione Point 2000 SSD</dc:title>
  <dc:creator>Maurizio Taruggi</dc:creator>
  <cp:lastModifiedBy>Un-named</cp:lastModifiedBy>
  <cp:revision>1</cp:revision>
  <dcterms:created xsi:type="dcterms:W3CDTF">2026-04-23T06:27:40.309Z</dcterms:created>
  <dcterms:modified xsi:type="dcterms:W3CDTF">2026-04-23T06:27:40.310Z</dcterms:modified>
</cp:coreProperties>
</file>

<file path=docProps/custom.xml><?xml version="1.0" encoding="utf-8"?>
<Properties xmlns="http://schemas.openxmlformats.org/officeDocument/2006/custom-properties" xmlns:vt="http://schemas.openxmlformats.org/officeDocument/2006/docPropsVTypes"/>
</file>