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 w:line="480"/>
        <w:ind w:firstLine="0"/>
        <w:jc w:val="center"/>
      </w:pPr>
      <w:r>
        <w:rPr>
          <w:b/>
          <w:bCs/>
        </w:rPr>
        <w:t xml:space="preserve">Traduce Señas:</w:t>
      </w:r>
    </w:p>
    <w:p>
      <w:pPr>
        <w:spacing w:after="0" w:before="0" w:line="480"/>
        <w:ind w:firstLine="0"/>
        <w:jc w:val="center"/>
      </w:pPr>
      <w:r>
        <w:rPr>
          <w:b/>
          <w:bCs/>
        </w:rPr>
        <w:t xml:space="preserve">Technical Manual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Juan Mauricio Suaza Solórzano</w:t>
      </w:r>
    </w:p>
    <w:p>
      <w:pPr>
        <w:spacing w:after="0" w:before="0" w:line="480"/>
        <w:ind w:firstLine="0"/>
        <w:jc w:val="center"/>
      </w:pPr>
      <w:r>
        <w:t xml:space="preserve">Luis Alejandro Duarte Aldana</w:t>
      </w:r>
    </w:p>
    <w:p>
      <w:pPr>
        <w:spacing w:after="0" w:before="0" w:line="480"/>
        <w:ind w:firstLine="0"/>
        <w:jc w:val="center"/>
      </w:pPr>
      <w:r>
        <w:t xml:space="preserve">Juan Camilo Fierro Esquivel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Instructor: Karol Daniela Correa</w:t>
      </w:r>
    </w:p>
    <w:p>
      <w:pPr>
        <w:spacing w:after="0" w:before="0" w:line="480"/>
        <w:ind w:firstLine="0"/>
        <w:jc w:val="center"/>
      </w:pPr>
      <w:r>
        <w:t xml:space="preserve">October 7, 2026</w:t>
      </w:r>
    </w:p>
    <w:p>
      <w:pPr>
        <w:pageBreakBefore/>
        <w:spacing w:line="480"/>
        <w:jc w:val="center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Introduction</w:t>
      </w:r>
    </w:p>
    <w:p>
      <w:pPr>
        <w:spacing w:line="480"/>
        <w:ind w:firstLine="720"/>
      </w:pPr>
      <w:r>
        <w:t xml:space="preserve">This manual describes the version of the system on the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branch as of October 3, 2026 (Backend </w:t>
      </w:r>
      <w:r>
        <w:rPr>
          <w:rFonts w:ascii="Courier New" w:cs="Courier New" w:eastAsia="Courier New" w:hAnsi="Courier New"/>
          <w:sz w:val="20"/>
          <w:szCs w:val="20"/>
        </w:rPr>
        <w:t xml:space="preserve">2c4e62d</w:t>
      </w:r>
      <w:r>
        <w:t xml:space="preserve">, Frontend </w:t>
      </w:r>
      <w:r>
        <w:rPr>
          <w:rFonts w:ascii="Courier New" w:cs="Courier New" w:eastAsia="Courier New" w:hAnsi="Courier New"/>
          <w:sz w:val="20"/>
          <w:szCs w:val="20"/>
        </w:rPr>
        <w:t xml:space="preserve">c1456cf</w:t>
      </w:r>
      <w:r>
        <w:t xml:space="preserve">). To install the system, see the </w:t>
      </w:r>
      <w:r>
        <w:t xml:space="preserve">Installation manual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Backend@develop:&lt;path&gt;</w:t>
      </w:r>
      <w:r>
        <w:t xml:space="preserve"> = file from the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branch of the Backend repository. It can be read without switching branches with </w:t>
      </w:r>
      <w:r>
        <w:rPr>
          <w:rFonts w:ascii="Courier New" w:cs="Courier New" w:eastAsia="Courier New" w:hAnsi="Courier New"/>
          <w:sz w:val="20"/>
          <w:szCs w:val="20"/>
        </w:rPr>
        <w:t xml:space="preserve">git show origin/develop:&lt;path&gt;</w:t>
      </w:r>
      <w:r>
        <w:t xml:space="preserve"> (inside the Backend repository).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Frontend@develop:&lt;path&gt;</w:t>
      </w:r>
      <w:r>
        <w:t xml:space="preserve"> = file from the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branch of the Frontend repository (frontendTS).</w:t>
      </w:r>
    </w:p>
    <w:p>
      <w:pPr>
        <w:pStyle w:val="Heading1"/>
      </w:pPr>
      <w:r>
        <w:t xml:space="preserve">Purpose</w:t>
      </w:r>
    </w:p>
    <w:p>
      <w:pPr>
        <w:spacing w:line="480"/>
        <w:ind w:firstLine="720"/>
      </w:pPr>
      <w:r>
        <w:t xml:space="preserve">This manual explains to developers joining the project how Traduce Señas is built: tools, architecture, API routes, database, security, sign recognition, frontend, diagrams and tests.</w:t>
      </w:r>
    </w:p>
    <w:p>
      <w:pPr>
        <w:pStyle w:val="Heading1"/>
      </w:pPr>
      <w:r>
        <w:t xml:space="preserve">1. System Requirements</w:t>
      </w:r>
    </w:p>
    <w:p>
      <w:pPr>
        <w:spacing w:line="480"/>
        <w:ind w:firstLine="720"/>
      </w:pPr>
      <w:r>
        <w:t xml:space="preserve">See the Installation manual, section 2.1.</w:t>
      </w:r>
    </w:p>
    <w:p>
      <w:pPr>
        <w:pStyle w:val="Heading1"/>
      </w:pPr>
      <w:r>
        <w:t xml:space="preserve">2. Development Tools</w:t>
      </w:r>
    </w:p>
    <w:p>
      <w:pPr>
        <w:keepNext/>
        <w:spacing w:line="480"/>
      </w:pPr>
      <w:r>
        <w:rPr>
          <w:b/>
          <w:bCs/>
        </w:rPr>
        <w:t xml:space="preserve">Table 1</w:t>
      </w:r>
    </w:p>
    <w:p>
      <w:pPr>
        <w:keepNext/>
        <w:spacing w:line="480"/>
      </w:pPr>
      <w:r>
        <w:rPr>
          <w:i/>
          <w:iCs/>
        </w:rPr>
        <w:t xml:space="preserve">Development Tools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2"/>
        <w:gridCol w:w="5347"/>
        <w:gridCol w:w="2661"/>
      </w:tblGrid>
      <w:tr>
        <w:trPr>
          <w:cantSplit/>
          <w:tblHeader/>
        </w:trPr>
        <w:tc>
          <w:tcPr>
            <w:tcW w:type="dxa" w:w="1352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534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66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3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534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Node.js (OpenJS Foundation, n.d.-b), Express 5 (OpenJS Foundation, n.d.-a), TypeScript, PostgreSQL (The PostgreSQL Global Development Group, n.d.) 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pg</w:t>
            </w:r>
            <w:r>
              <w:rPr>
                <w:sz w:val="22"/>
                <w:szCs w:val="22"/>
              </w:rPr>
              <w:t xml:space="preserve">, validation 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zod</w:t>
            </w:r>
            <w:r>
              <w:rPr>
                <w:sz w:val="22"/>
                <w:szCs w:val="22"/>
              </w:rPr>
              <w:t xml:space="preserve">, email 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nodemailer</w:t>
            </w:r>
            <w:r>
              <w:rPr>
                <w:sz w:val="22"/>
                <w:szCs w:val="22"/>
              </w:rPr>
              <w:t xml:space="preserve">, tests 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vitest</w:t>
            </w:r>
          </w:p>
        </w:tc>
        <w:tc>
          <w:tcPr>
            <w:tcW w:type="dxa" w:w="2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Backend@develop:package.json</w:t>
            </w:r>
          </w:p>
        </w:tc>
      </w:tr>
      <w:tr>
        <w:trPr>
          <w:cantSplit/>
        </w:trPr>
        <w:tc>
          <w:tcPr>
            <w:tcW w:type="dxa" w:w="13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534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Expo 57 (Expo, n.d.), React Native 0.86 (Meta Platforms, Inc., n.d.), react-native-web, React Navigation 6, axios, Context API. </w:t>
            </w:r>
            <w:r>
              <w:rPr>
                <w:b/>
                <w:bCs/>
                <w:sz w:val="22"/>
                <w:szCs w:val="22"/>
              </w:rPr>
              <w:t xml:space="preserve">No React Query.</w:t>
            </w:r>
          </w:p>
        </w:tc>
        <w:tc>
          <w:tcPr>
            <w:tcW w:type="dxa" w:w="2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package.json</w:t>
            </w:r>
            <w:r>
              <w:rPr>
                <w:sz w:val="22"/>
                <w:szCs w:val="22"/>
              </w:rPr>
              <w:t xml:space="preserve"> of the Frontend repository</w:t>
            </w:r>
          </w:p>
        </w:tc>
      </w:tr>
    </w:tbl>
    <w:p>
      <w:pPr>
        <w:pStyle w:val="Heading1"/>
        <w:spacing w:before="240" w:line="480"/>
      </w:pPr>
      <w:r>
        <w:t xml:space="preserve">3. Architecture</w:t>
      </w:r>
    </w:p>
    <w:p>
      <w:pPr>
        <w:keepNext/>
        <w:spacing w:line="480"/>
      </w:pPr>
      <w:r>
        <w:rPr>
          <w:b/>
          <w:bCs/>
        </w:rPr>
        <w:t xml:space="preserve">Table 2</w:t>
      </w:r>
    </w:p>
    <w:p>
      <w:pPr>
        <w:keepNext/>
        <w:spacing w:line="480"/>
      </w:pPr>
      <w:r>
        <w:rPr>
          <w:i/>
          <w:iCs/>
        </w:rPr>
        <w:t xml:space="preserve">Architecture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79"/>
        <w:gridCol w:w="5031"/>
        <w:gridCol w:w="2850"/>
      </w:tblGrid>
      <w:tr>
        <w:trPr>
          <w:cantSplit/>
          <w:tblHeader/>
        </w:trPr>
        <w:tc>
          <w:tcPr>
            <w:tcW w:type="dxa" w:w="147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503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850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4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Overall style</w:t>
            </w:r>
          </w:p>
        </w:tc>
        <w:tc>
          <w:tcPr>
            <w:tcW w:type="dxa" w:w="50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Modular monolith</w:t>
            </w:r>
            <w:r>
              <w:rPr>
                <w:sz w:val="22"/>
                <w:szCs w:val="22"/>
              </w:rPr>
              <w:t xml:space="preserve">: a single Express process that mounts one router per domain.</w:t>
            </w:r>
          </w:p>
        </w:tc>
        <w:tc>
          <w:tcPr>
            <w:tcW w:type="dxa" w:w="2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Backend@develop:cmd/server/main.ts</w:t>
            </w:r>
          </w:p>
        </w:tc>
      </w:tr>
      <w:tr>
        <w:trPr>
          <w:cantSplit/>
        </w:trPr>
        <w:tc>
          <w:tcPr>
            <w:tcW w:type="dxa" w:w="14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Internal style</w:t>
            </w:r>
          </w:p>
        </w:tc>
        <w:tc>
          <w:tcPr>
            <w:tcW w:type="dxa" w:w="50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 formally decided.</w:t>
            </w:r>
            <w:r>
              <w:rPr>
                <w:sz w:val="22"/>
                <w:szCs w:val="22"/>
              </w:rPr>
              <w:t xml:space="preserve"> Each domain uses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 / application / ports / adapters</w:t>
            </w:r>
            <w:r>
              <w:rPr>
                <w:sz w:val="22"/>
                <w:szCs w:val="22"/>
              </w:rPr>
              <w:t xml:space="preserve"> folders (similar to hexagonal); the older documents say "N layers".</w:t>
            </w:r>
          </w:p>
        </w:tc>
        <w:tc>
          <w:tcPr>
            <w:tcW w:type="dxa" w:w="2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Folder structure of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Backend@develop:src/domains/</w:t>
            </w:r>
          </w:p>
        </w:tc>
      </w:tr>
      <w:tr>
        <w:trPr>
          <w:cantSplit/>
        </w:trPr>
        <w:tc>
          <w:tcPr>
            <w:tcW w:type="dxa" w:w="14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Data</w:t>
            </w:r>
          </w:p>
        </w:tc>
        <w:tc>
          <w:tcPr>
            <w:tcW w:type="dxa" w:w="50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PostgreSQL. </w:t>
            </w:r>
            <w:r>
              <w:rPr>
                <w:b/>
                <w:bCs/>
                <w:sz w:val="22"/>
                <w:szCs w:val="22"/>
              </w:rPr>
              <w:t xml:space="preserve">No MongoDB</w:t>
            </w:r>
            <w:r>
              <w:rPr>
                <w:sz w:val="22"/>
                <w:szCs w:val="22"/>
              </w:rPr>
              <w:t xml:space="preserve">: there is no driver and no service in the compose file, 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src/shared/database/montsdb/</w:t>
            </w:r>
            <w:r>
              <w:rPr>
                <w:sz w:val="22"/>
                <w:szCs w:val="22"/>
              </w:rPr>
              <w:t xml:space="preserve"> only has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.gitkeep</w:t>
            </w:r>
            <w:r>
              <w:rPr>
                <w:sz w:val="22"/>
                <w:szCs w:val="22"/>
              </w:rPr>
              <w:t xml:space="preserve">. ADR-003 (trans-sl-docs repository) talks about PostgreSQL + MongoDB: the code does not follow it.</w:t>
            </w:r>
          </w:p>
        </w:tc>
        <w:tc>
          <w:tcPr>
            <w:tcW w:type="dxa" w:w="2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Backend@develop:package.json</w:t>
            </w:r>
          </w:p>
        </w:tc>
      </w:tr>
    </w:tbl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Browser --8080--&gt; nginx (frontend) --/api/--&gt; Express backend :3000 --pg--&gt; PostgreSQL :5432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 \--&gt; CDN: MediaPipe and Google models (recognition runs in the browser)</w:t>
      </w:r>
    </w:p>
    <w:p>
      <w:pPr>
        <w:spacing w:before="240" w:line="480"/>
        <w:ind w:firstLine="720"/>
      </w:pPr>
      <w:r>
        <w:t xml:space="preserve">The microservices, the gateway and the contracts in </w:t>
      </w:r>
      <w:r>
        <w:rPr>
          <w:rFonts w:ascii="Courier New" w:cs="Courier New" w:eastAsia="Courier New" w:hAnsi="Courier New"/>
          <w:sz w:val="20"/>
          <w:szCs w:val="20"/>
        </w:rPr>
        <w:t xml:space="preserve">Docs/07-api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Docs/09-microservices</w:t>
      </w:r>
      <w:r>
        <w:t xml:space="preserve"> are </w:t>
      </w:r>
      <w:r>
        <w:rPr>
          <w:b/>
          <w:bCs/>
        </w:rPr>
        <w:t xml:space="preserve">templates</w:t>
      </w:r>
      <w:r>
        <w:t xml:space="preserve">; they do not describe this system.</w:t>
      </w:r>
    </w:p>
    <w:p>
      <w:pPr>
        <w:pStyle w:val="Heading2"/>
      </w:pPr>
      <w:r>
        <w:t xml:space="preserve">3.1 Backend Domains (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)</w:t>
      </w:r>
    </w:p>
    <w:p>
      <w:pPr>
        <w:spacing w:line="480"/>
        <w:ind w:firstLine="720"/>
      </w:pPr>
      <w:r>
        <w:rPr>
          <w:rFonts w:ascii="Courier New" w:cs="Courier New" w:eastAsia="Courier New" w:hAnsi="Courier New"/>
          <w:sz w:val="20"/>
          <w:szCs w:val="20"/>
        </w:rPr>
        <w:t xml:space="preserve">cmd/server/main.ts</w:t>
      </w:r>
      <w:r>
        <w:t xml:space="preserve"> mounts six routers (in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). Each domain has its own </w:t>
      </w:r>
      <w:r>
        <w:rPr>
          <w:rFonts w:ascii="Courier New" w:cs="Courier New" w:eastAsia="Courier New" w:hAnsi="Courier New"/>
          <w:sz w:val="20"/>
          <w:szCs w:val="20"/>
        </w:rPr>
        <w:t xml:space="preserve">*.module.ts</w:t>
      </w:r>
      <w:r>
        <w:t xml:space="preserve">, which wires ports to adapters.</w:t>
      </w:r>
    </w:p>
    <w:p>
      <w:pPr>
        <w:keepNext/>
        <w:spacing w:line="480"/>
      </w:pPr>
      <w:r>
        <w:rPr>
          <w:b/>
          <w:bCs/>
        </w:rPr>
        <w:t xml:space="preserve">Table 3</w:t>
      </w:r>
    </w:p>
    <w:p>
      <w:pPr>
        <w:keepNext/>
        <w:spacing w:line="480"/>
      </w:pPr>
      <w:r>
        <w:rPr>
          <w:i/>
          <w:iCs/>
        </w:rPr>
        <w:t xml:space="preserve">Backend Domains (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develop</w:t>
      </w:r>
      <w:r>
        <w:rPr>
          <w:i/>
          <w:iCs/>
        </w:rPr>
        <w:t xml:space="preserve">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4"/>
        <w:gridCol w:w="2488"/>
        <w:gridCol w:w="4818"/>
      </w:tblGrid>
      <w:tr>
        <w:trPr>
          <w:cantSplit/>
          <w:tblHeader/>
        </w:trPr>
        <w:tc>
          <w:tcPr>
            <w:tcW w:type="dxa" w:w="2054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248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Base route</w:t>
            </w:r>
          </w:p>
        </w:tc>
        <w:tc>
          <w:tcPr>
            <w:tcW w:type="dxa" w:w="481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0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</w:t>
            </w:r>
          </w:p>
        </w:tc>
        <w:tc>
          <w:tcPr>
            <w:tcW w:type="dxa" w:w="24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</w:t>
            </w:r>
          </w:p>
        </w:tc>
        <w:tc>
          <w:tcPr>
            <w:tcW w:type="dxa" w:w="481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Sign-up, sign-in, email verification, password recovery</w:t>
            </w:r>
          </w:p>
        </w:tc>
      </w:tr>
      <w:tr>
        <w:trPr>
          <w:cantSplit/>
        </w:trPr>
        <w:tc>
          <w:tcPr>
            <w:tcW w:type="dxa" w:w="20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</w:p>
        </w:tc>
        <w:tc>
          <w:tcPr>
            <w:tcW w:type="dxa" w:w="24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81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My user data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/me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24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/api/translations</w:t>
            </w:r>
          </w:p>
        </w:tc>
        <w:tc>
          <w:tcPr>
            <w:tcW w:type="dxa" w:w="481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Save, list and delete translations</w:t>
            </w:r>
          </w:p>
        </w:tc>
      </w:tr>
      <w:tr>
        <w:trPr>
          <w:cantSplit/>
        </w:trPr>
        <w:tc>
          <w:tcPr>
            <w:tcW w:type="dxa" w:w="20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</w:t>
            </w:r>
          </w:p>
        </w:tc>
        <w:tc>
          <w:tcPr>
            <w:tcW w:type="dxa" w:w="24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/api/sign-templates</w:t>
            </w:r>
          </w:p>
        </w:tc>
        <w:tc>
          <w:tcPr>
            <w:tcW w:type="dxa" w:w="481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Templates of signs with movement (plus training scripts outside the server)</w:t>
            </w:r>
          </w:p>
        </w:tc>
      </w:tr>
      <w:tr>
        <w:trPr>
          <w:cantSplit/>
        </w:trPr>
        <w:tc>
          <w:tcPr>
            <w:tcW w:type="dxa" w:w="20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iam</w:t>
            </w:r>
          </w:p>
        </w:tc>
        <w:tc>
          <w:tcPr>
            <w:tcW w:type="dxa" w:w="24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</w:t>
            </w:r>
          </w:p>
        </w:tc>
        <w:tc>
          <w:tcPr>
            <w:tcW w:type="dxa" w:w="481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Roles and permissions (RBAC)</w:t>
            </w:r>
          </w:p>
        </w:tc>
      </w:tr>
      <w:tr>
        <w:trPr>
          <w:cantSplit/>
        </w:trPr>
        <w:tc>
          <w:tcPr>
            <w:tcW w:type="dxa" w:w="20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/api/analytics</w:t>
            </w:r>
          </w:p>
        </w:tc>
        <w:tc>
          <w:tcPr>
            <w:tcW w:type="dxa" w:w="481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Usage events and an aggregated report per section</w:t>
            </w:r>
          </w:p>
        </w:tc>
      </w:tr>
    </w:tbl>
    <w:p>
      <w:pPr>
        <w:spacing w:before="240" w:line="480"/>
        <w:ind w:firstLine="720"/>
      </w:pPr>
      <w:r>
        <w:t xml:space="preserve">How they connect without knowing each other: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 receives a </w:t>
      </w:r>
      <w:r>
        <w:rPr>
          <w:rFonts w:ascii="Courier New" w:cs="Courier New" w:eastAsia="Courier New" w:hAnsi="Courier New"/>
          <w:sz w:val="20"/>
          <w:szCs w:val="20"/>
        </w:rPr>
        <w:t xml:space="preserve">roleAssigner</w:t>
      </w:r>
      <w:r>
        <w:t xml:space="preserve"> adapter and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a </w:t>
      </w:r>
      <w:r>
        <w:rPr>
          <w:rFonts w:ascii="Courier New" w:cs="Courier New" w:eastAsia="Courier New" w:hAnsi="Courier New"/>
          <w:sz w:val="20"/>
          <w:szCs w:val="20"/>
        </w:rPr>
        <w:t xml:space="preserve">permissionChecker</w:t>
      </w:r>
      <w:r>
        <w:t xml:space="preserve">, both built with the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 service in </w:t>
      </w:r>
      <w:r>
        <w:rPr>
          <w:rFonts w:ascii="Courier New" w:cs="Courier New" w:eastAsia="Courier New" w:hAnsi="Courier New"/>
          <w:sz w:val="20"/>
          <w:szCs w:val="20"/>
        </w:rPr>
        <w:t xml:space="preserve">main.ts</w:t>
      </w:r>
      <w:r>
        <w:t xml:space="preserve">. This way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do not import code from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.</w:t>
      </w:r>
    </w:p>
    <w:p>
      <w:pPr>
        <w:pStyle w:val="Heading2"/>
      </w:pPr>
      <w:r>
        <w:t xml:space="preserve">3.2 API Routes (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)</w:t>
      </w:r>
    </w:p>
    <w:p>
      <w:pPr>
        <w:spacing w:line="480"/>
        <w:ind w:firstLine="720"/>
      </w:pPr>
      <w:r>
        <w:t xml:space="preserve">"Token" = header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  <w:r>
        <w:t xml:space="preserve">. Source: the </w:t>
      </w:r>
      <w:r>
        <w:rPr>
          <w:rFonts w:ascii="Courier New" w:cs="Courier New" w:eastAsia="Courier New" w:hAnsi="Courier New"/>
          <w:sz w:val="20"/>
          <w:szCs w:val="20"/>
        </w:rPr>
        <w:t xml:space="preserve">routes.ts</w:t>
      </w:r>
      <w:r>
        <w:t xml:space="preserve"> of each domain.</w:t>
      </w:r>
    </w:p>
    <w:p>
      <w:pPr>
        <w:keepNext/>
        <w:spacing w:line="480"/>
      </w:pPr>
      <w:r>
        <w:rPr>
          <w:b/>
          <w:bCs/>
        </w:rPr>
        <w:t xml:space="preserve">Table 4</w:t>
      </w:r>
    </w:p>
    <w:p>
      <w:pPr>
        <w:keepNext/>
        <w:spacing w:line="480"/>
      </w:pPr>
      <w:r>
        <w:rPr>
          <w:i/>
          <w:iCs/>
        </w:rPr>
        <w:t xml:space="preserve">API Routes (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develop</w:t>
      </w:r>
      <w:r>
        <w:rPr>
          <w:i/>
          <w:iCs/>
        </w:rPr>
        <w:t xml:space="preserve">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73"/>
        <w:gridCol w:w="3277"/>
        <w:gridCol w:w="1769"/>
        <w:gridCol w:w="3141"/>
      </w:tblGrid>
      <w:tr>
        <w:trPr>
          <w:cantSplit/>
          <w:tblHeader/>
        </w:trPr>
        <w:tc>
          <w:tcPr>
            <w:tcW w:type="dxa" w:w="1173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27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176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314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Permission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 (requires code </w:t>
            </w:r>
            <w:r>
              <w:rPr>
                <w:b/>
                <w:bCs/>
                <w:sz w:val="22"/>
                <w:szCs w:val="22"/>
              </w:rPr>
              <w:t xml:space="preserve">and</w:t>
            </w:r>
            <w:r>
              <w:rPr>
                <w:sz w:val="22"/>
                <w:szCs w:val="22"/>
              </w:rPr>
              <w:t xml:space="preserve"> password)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/api/auth/resend-verification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/api/auth/verify-code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/api/translations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token only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/api/translations/history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token only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limit</w:t>
            </w:r>
            <w:r>
              <w:rPr>
                <w:sz w:val="22"/>
                <w:szCs w:val="22"/>
              </w:rPr>
              <w:t xml:space="preserve"> max. 200, default 50;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offset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/api/translations/:id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token only (soft delete)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/api/sign-templates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 (public on purpose)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/api/sign-templates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none</w:t>
            </w:r>
            <w:r>
              <w:rPr>
                <w:sz w:val="22"/>
                <w:szCs w:val="22"/>
              </w:rPr>
              <w:t xml:space="preserve"> (token only)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/api/sign-templates/:id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none</w:t>
            </w:r>
            <w:r>
              <w:rPr>
                <w:sz w:val="22"/>
                <w:szCs w:val="22"/>
              </w:rPr>
              <w:t xml:space="preserve"> (token only)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/api/iam/me/access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 (returns my roles and permissions)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/api/iam/roles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users.manage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/api/iam/users/:userId/roles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users.manage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/api/iam/users/:userId/roles/:roleName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users.manage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/api/iam/roles/:roleId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users.manage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/api/analytics/events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2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/api/analytics/reports/sections</w:t>
            </w:r>
          </w:p>
        </w:tc>
        <w:tc>
          <w:tcPr>
            <w:tcW w:type="dxa" w:w="17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314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stats.read</w:t>
            </w:r>
          </w:p>
        </w:tc>
      </w:tr>
    </w:tbl>
    <w:p>
      <w:pPr>
        <w:spacing w:before="240" w:line="480"/>
        <w:ind w:firstLine="720"/>
      </w:pPr>
      <w:r>
        <w:t xml:space="preserve">Notes: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list_roles.ts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assign_role.ts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revoke_role.ts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delete_role.ts</w:t>
      </w:r>
      <w:r>
        <w:t xml:space="preserve"> check </w:t>
      </w:r>
      <w:r>
        <w:rPr>
          <w:rFonts w:ascii="Courier New" w:cs="Courier New" w:eastAsia="Courier New" w:hAnsi="Courier New"/>
          <w:sz w:val="20"/>
          <w:szCs w:val="20"/>
        </w:rPr>
        <w:t xml:space="preserve">users.manage</w:t>
      </w:r>
      <w:r>
        <w:t xml:space="preserve"> inside the use case.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There is a Google sign-in use case (</w:t>
      </w:r>
      <w:r>
        <w:rPr>
          <w:rFonts w:ascii="Courier New" w:cs="Courier New" w:eastAsia="Courier New" w:hAnsi="Courier New"/>
          <w:sz w:val="20"/>
          <w:szCs w:val="20"/>
        </w:rPr>
        <w:t xml:space="preserve">google_login.ts</w:t>
      </w:r>
      <w:r>
        <w:t xml:space="preserve">) registered in </w:t>
      </w:r>
      <w:r>
        <w:rPr>
          <w:rFonts w:ascii="Courier New" w:cs="Courier New" w:eastAsia="Courier New" w:hAnsi="Courier New"/>
          <w:sz w:val="20"/>
          <w:szCs w:val="20"/>
        </w:rPr>
        <w:t xml:space="preserve">auth.module.ts</w:t>
      </w:r>
      <w:r>
        <w:t xml:space="preserve">, but </w:t>
      </w:r>
      <w:r>
        <w:rPr>
          <w:b/>
          <w:bCs/>
        </w:rPr>
        <w:t xml:space="preserve">no route exposes it</w:t>
      </w:r>
      <w:r>
        <w:t xml:space="preserve">. </w:t>
      </w:r>
      <w:r>
        <w:rPr>
          <w:rFonts w:ascii="Courier New" w:cs="Courier New" w:eastAsia="Courier New" w:hAnsi="Courier New"/>
          <w:sz w:val="20"/>
          <w:szCs w:val="20"/>
        </w:rPr>
        <w:t xml:space="preserve">passport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passport-google-oauth20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express-session</w:t>
      </w:r>
      <w:r>
        <w:t xml:space="preserve"> are installed and unused.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There is no OpenAPI document for these routes; </w:t>
      </w:r>
      <w:r>
        <w:rPr>
          <w:rFonts w:ascii="Courier New" w:cs="Courier New" w:eastAsia="Courier New" w:hAnsi="Courier New"/>
          <w:sz w:val="20"/>
          <w:szCs w:val="20"/>
        </w:rPr>
        <w:t xml:space="preserve">Docs/07-api</w:t>
      </w:r>
      <w:r>
        <w:t xml:space="preserve"> only has templates.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errors: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success: false, code, message }</w:t>
      </w:r>
      <w:r>
        <w:t xml:space="preserve"> with 400, 403, 404 or 409. Everything else falls through to the </w:t>
      </w:r>
      <w:r>
        <w:rPr>
          <w:rFonts w:ascii="Courier New" w:cs="Courier New" w:eastAsia="Courier New" w:hAnsi="Courier New"/>
          <w:sz w:val="20"/>
          <w:szCs w:val="20"/>
        </w:rPr>
        <w:t xml:space="preserve">errorHandler</w:t>
      </w:r>
      <w:r>
        <w:t xml:space="preserve"> (generic 500).</w:t>
      </w:r>
    </w:p>
    <w:p>
      <w:pPr>
        <w:pStyle w:val="Heading1"/>
      </w:pPr>
      <w:r>
        <w:t xml:space="preserve">4. Database</w:t>
      </w:r>
    </w:p>
    <w:p>
      <w:pPr>
        <w:pStyle w:val="Heading2"/>
      </w:pPr>
      <w:r>
        <w:t xml:space="preserve">4.1 Relational Model</w:t>
      </w:r>
    </w:p>
    <w:p>
      <w:pPr>
        <w:spacing w:line="480"/>
        <w:ind w:firstLine="720"/>
      </w:pPr>
      <w:r>
        <w:t xml:space="preserve">The reference data model is in the documentation repository (</w:t>
      </w:r>
      <w:r>
        <w:rPr>
          <w:rFonts w:ascii="Courier New" w:cs="Courier New" w:eastAsia="Courier New" w:hAnsi="Courier New"/>
          <w:sz w:val="20"/>
          <w:szCs w:val="20"/>
        </w:rPr>
        <w:t xml:space="preserve">Docs/06-data/traduce_senas.dbml</w:t>
      </w:r>
      <w:r>
        <w:t xml:space="preserve">, 29 tables organized by domain). The tables that exist in the database today are the ones created by the migrations in section 4.2; the differences between the two are listed in section 4.4.</w:t>
      </w:r>
    </w:p>
    <w:p>
      <w:pPr>
        <w:pStyle w:val="Heading2"/>
      </w:pPr>
      <w:r>
        <w:t xml:space="preserve">4.2 Manual SQL Migrations (Current)</w:t>
      </w:r>
    </w:p>
    <w:p>
      <w:pPr>
        <w:spacing w:line="480"/>
        <w:ind w:firstLine="720"/>
      </w:pPr>
      <w:r>
        <w:t xml:space="preserve">The table describes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.</w:t>
      </w:r>
    </w:p>
    <w:p>
      <w:pPr>
        <w:spacing w:line="480"/>
        <w:ind w:firstLine="720"/>
      </w:pPr>
      <w:r>
        <w:rPr>
          <w:rFonts w:ascii="Courier New" w:cs="Courier New" w:eastAsia="Courier New" w:hAnsi="Courier New"/>
          <w:sz w:val="20"/>
          <w:szCs w:val="20"/>
        </w:rPr>
        <w:t xml:space="preserve">Backend@develop:migrations/</w:t>
      </w:r>
      <w:r>
        <w:t xml:space="preserve">, run by Postgres in alphabetical order when the volume is created (the compose file mounts them as </w:t>
      </w:r>
      <w:r>
        <w:rPr>
          <w:rFonts w:ascii="Courier New" w:cs="Courier New" w:eastAsia="Courier New" w:hAnsi="Courier New"/>
          <w:sz w:val="20"/>
          <w:szCs w:val="20"/>
        </w:rPr>
        <w:t xml:space="preserve">initdb.d</w:t>
      </w:r>
      <w:r>
        <w:t xml:space="preserve">).</w:t>
      </w:r>
    </w:p>
    <w:p>
      <w:pPr>
        <w:keepNext/>
        <w:spacing w:line="480"/>
      </w:pPr>
      <w:r>
        <w:rPr>
          <w:b/>
          <w:bCs/>
        </w:rPr>
        <w:t xml:space="preserve">Table 5</w:t>
      </w:r>
    </w:p>
    <w:p>
      <w:pPr>
        <w:keepNext/>
        <w:spacing w:line="480"/>
      </w:pPr>
      <w:r>
        <w:rPr>
          <w:i/>
          <w:iCs/>
        </w:rPr>
        <w:t xml:space="preserve">Manual SQL Migrations (Current)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5629"/>
      </w:tblGrid>
      <w:tr>
        <w:trPr>
          <w:cantSplit/>
          <w:tblHeader/>
        </w:trPr>
        <w:tc>
          <w:tcPr>
            <w:tcW w:type="dxa" w:w="373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562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it creates</w:t>
            </w:r>
          </w:p>
        </w:tc>
      </w:tr>
      <w:tr>
        <w:trPr>
          <w:cantSplit/>
        </w:trPr>
        <w:tc>
          <w:tcPr>
            <w:tcW w:type="dxa" w:w="37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000_users.sql</w:t>
            </w:r>
          </w:p>
        </w:tc>
        <w:tc>
          <w:tcPr>
            <w:tcW w:type="dxa" w:w="562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  <w:r>
              <w:rPr>
                <w:sz w:val="22"/>
                <w:szCs w:val="22"/>
              </w:rPr>
              <w:t xml:space="preserve"> (and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password_reset_token</w:t>
            </w:r>
            <w:r>
              <w:rPr>
                <w:sz w:val="22"/>
                <w:szCs w:val="22"/>
              </w:rPr>
              <w:t xml:space="preserve">, which 005 leaves unused)</w:t>
            </w:r>
          </w:p>
        </w:tc>
      </w:tr>
      <w:tr>
        <w:trPr>
          <w:cantSplit/>
        </w:trPr>
        <w:tc>
          <w:tcPr>
            <w:tcW w:type="dxa" w:w="37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001_translations.sql</w:t>
            </w:r>
          </w:p>
        </w:tc>
        <w:tc>
          <w:tcPr>
            <w:tcW w:type="dxa" w:w="562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translations</w:t>
            </w:r>
            <w:r>
              <w:rPr>
                <w:sz w:val="22"/>
                <w:szCs w:val="22"/>
              </w:rPr>
              <w:t xml:space="preserve"> (accepts the types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texto_sena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sena_texto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voz_sena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7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002_sign_templates.sql</w:t>
            </w:r>
          </w:p>
        </w:tc>
        <w:tc>
          <w:tcPr>
            <w:tcW w:type="dxa" w:w="562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sign_templates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features</w:t>
            </w:r>
            <w:r>
              <w:rPr>
                <w:sz w:val="22"/>
                <w:szCs w:val="22"/>
              </w:rPr>
              <w:t xml:space="preserve"> as JSONB)</w:t>
            </w:r>
          </w:p>
        </w:tc>
      </w:tr>
      <w:tr>
        <w:trPr>
          <w:cantSplit/>
        </w:trPr>
        <w:tc>
          <w:tcPr>
            <w:tcW w:type="dxa" w:w="37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003_iam_roles_permissions.sql</w:t>
            </w:r>
          </w:p>
        </w:tc>
        <w:tc>
          <w:tcPr>
            <w:tcW w:type="dxa" w:w="562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permissions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user_roles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role_permissions</w:t>
            </w:r>
            <w:r>
              <w:rPr>
                <w:sz w:val="22"/>
                <w:szCs w:val="22"/>
              </w:rPr>
              <w:t xml:space="preserve"> + USER/LINGUIST/ADMIN roles and 13 permissions</w:t>
            </w:r>
          </w:p>
        </w:tc>
      </w:tr>
      <w:tr>
        <w:trPr>
          <w:cantSplit/>
        </w:trPr>
        <w:tc>
          <w:tcPr>
            <w:tcW w:type="dxa" w:w="37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004_analytics_usage_events.sql</w:t>
            </w:r>
          </w:p>
        </w:tc>
        <w:tc>
          <w:tcPr>
            <w:tcW w:type="dxa" w:w="562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usage_events</w:t>
            </w:r>
            <w:r>
              <w:rPr>
                <w:sz w:val="22"/>
                <w:szCs w:val="22"/>
              </w:rPr>
              <w:t xml:space="preserve"> (insert only)</w:t>
            </w:r>
          </w:p>
        </w:tc>
      </w:tr>
      <w:tr>
        <w:trPr>
          <w:cantSplit/>
        </w:trPr>
        <w:tc>
          <w:tcPr>
            <w:tcW w:type="dxa" w:w="37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005_auth_email_normalization_user_tokens.sql</w:t>
            </w:r>
          </w:p>
        </w:tc>
        <w:tc>
          <w:tcPr>
            <w:tcW w:type="dxa" w:w="562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Normalized email (CHECK) 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user_tokens</w:t>
            </w:r>
            <w:r>
              <w:rPr>
                <w:sz w:val="22"/>
                <w:szCs w:val="22"/>
              </w:rPr>
              <w:t xml:space="preserve"> (codes hashed with bcrypt, plus attempts)</w:t>
            </w:r>
          </w:p>
        </w:tc>
      </w:tr>
      <w:tr>
        <w:trPr>
          <w:cantSplit/>
        </w:trPr>
        <w:tc>
          <w:tcPr>
            <w:tcW w:type="dxa" w:w="37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006_users_status_email_verification.sql</w:t>
            </w:r>
          </w:p>
        </w:tc>
        <w:tc>
          <w:tcPr>
            <w:tcW w:type="dxa" w:w="562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users.status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INACTIVE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BLOCKED</w:t>
            </w:r>
            <w:r>
              <w:rPr>
                <w:sz w:val="22"/>
                <w:szCs w:val="22"/>
              </w:rPr>
              <w:t xml:space="preserve">) 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email_verified_at</w:t>
            </w:r>
          </w:p>
        </w:tc>
      </w:tr>
    </w:tbl>
    <w:p>
      <w:pPr>
        <w:pStyle w:val="Heading2"/>
        <w:spacing w:before="240" w:line="480"/>
      </w:pPr>
      <w:r>
        <w:t xml:space="preserve">4.3 Old Liquibase in Parallel</w:t>
      </w:r>
    </w:p>
    <w:p>
      <w:pPr>
        <w:spacing w:line="480"/>
        <w:ind w:firstLine="720"/>
      </w:pPr>
      <w:r>
        <w:rPr>
          <w:rFonts w:ascii="Courier New" w:cs="Courier New" w:eastAsia="Courier New" w:hAnsi="Courier New"/>
          <w:sz w:val="20"/>
          <w:szCs w:val="20"/>
        </w:rPr>
        <w:t xml:space="preserve">Backend@develop:DB/traduce_senas/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master.xml</w:t>
      </w:r>
      <w:r>
        <w:t xml:space="preserve"> and changelogs 001 to 011) is an </w:t>
      </w:r>
      <w:r>
        <w:rPr>
          <w:b/>
          <w:bCs/>
        </w:rPr>
        <w:t xml:space="preserve">old version</w:t>
      </w:r>
      <w:r>
        <w:t xml:space="preserve">. The compose file explicitly says "DO NOT use the old master.xml". The current tables are the ones created by the migrations in section 4.2.</w:t>
      </w:r>
    </w:p>
    <w:p>
      <w:pPr>
        <w:pStyle w:val="Heading2"/>
      </w:pPr>
      <w:r>
        <w:t xml:space="preserve">4.4 Mismatches With the Documentation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reference DBML (</w:t>
      </w:r>
      <w:r>
        <w:rPr>
          <w:rFonts w:ascii="Courier New" w:cs="Courier New" w:eastAsia="Courier New" w:hAnsi="Courier New"/>
          <w:sz w:val="20"/>
          <w:szCs w:val="20"/>
        </w:rPr>
        <w:t xml:space="preserve">Docs/06-data/traduce_senas.dbml</w:t>
      </w:r>
      <w:r>
        <w:t xml:space="preserve">) uses UUID, </w:t>
      </w:r>
      <w:r>
        <w:rPr>
          <w:rFonts w:ascii="Courier New" w:cs="Courier New" w:eastAsia="Courier New" w:hAnsi="Courier New"/>
          <w:sz w:val="20"/>
          <w:szCs w:val="20"/>
        </w:rPr>
        <w:t xml:space="preserve">full_name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password_hash</w:t>
      </w:r>
      <w:r>
        <w:t xml:space="preserve">; the migrations use </w:t>
      </w:r>
      <w:r>
        <w:rPr>
          <w:rFonts w:ascii="Courier New" w:cs="Courier New" w:eastAsia="Courier New" w:hAnsi="Courier New"/>
          <w:sz w:val="20"/>
          <w:szCs w:val="20"/>
        </w:rPr>
        <w:t xml:space="preserve">SERIAL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name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Blockers ALIGN-01, ALIGN-02 and DATA-11 in </w:t>
      </w:r>
      <w:r>
        <w:rPr>
          <w:rFonts w:ascii="Courier New" w:cs="Courier New" w:eastAsia="Courier New" w:hAnsi="Courier New"/>
          <w:sz w:val="20"/>
          <w:szCs w:val="20"/>
        </w:rPr>
        <w:t xml:space="preserve">Docs/06-data/open-items.md</w:t>
      </w:r>
      <w:r>
        <w:t xml:space="preserve"> are still open.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documented migration strategy (</w:t>
      </w:r>
      <w:r>
        <w:rPr>
          <w:rFonts w:ascii="Courier New" w:cs="Courier New" w:eastAsia="Courier New" w:hAnsi="Courier New"/>
          <w:sz w:val="20"/>
          <w:szCs w:val="20"/>
        </w:rPr>
        <w:t xml:space="preserve">node-pg-migrate</w:t>
      </w:r>
      <w:r>
        <w:t xml:space="preserve">) does not match reality (manual SQL).</w:t>
      </w:r>
    </w:p>
    <w:p>
      <w:pPr>
        <w:pStyle w:val="Heading1"/>
      </w:pPr>
      <w:r>
        <w:t xml:space="preserve">5. Security</w:t>
      </w:r>
    </w:p>
    <w:p>
      <w:pPr>
        <w:pStyle w:val="Heading2"/>
      </w:pPr>
      <w:r>
        <w:t xml:space="preserve">5.1 Authentication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JWT</w:t>
      </w:r>
      <w:r>
        <w:t xml:space="preserve"> (Jones et al., 2015) signed with </w:t>
      </w:r>
      <w:r>
        <w:rPr>
          <w:rFonts w:ascii="Courier New" w:cs="Courier New" w:eastAsia="Courier New" w:hAnsi="Courier New"/>
          <w:sz w:val="20"/>
          <w:szCs w:val="20"/>
        </w:rPr>
        <w:t xml:space="preserve">jsonwebtoken</w:t>
      </w:r>
      <w:r>
        <w:t xml:space="preserve"> and the </w:t>
      </w:r>
      <w:r>
        <w:rPr>
          <w:rFonts w:ascii="Courier New" w:cs="Courier New" w:eastAsia="Courier New" w:hAnsi="Courier New"/>
          <w:sz w:val="20"/>
          <w:szCs w:val="20"/>
        </w:rPr>
        <w:t xml:space="preserve">JWT_SECRET</w:t>
      </w:r>
      <w:r>
        <w:t xml:space="preserve"> secret. The payload carries </w:t>
      </w:r>
      <w:r>
        <w:rPr>
          <w:rFonts w:ascii="Courier New" w:cs="Courier New" w:eastAsia="Courier New" w:hAnsi="Courier New"/>
          <w:sz w:val="20"/>
          <w:szCs w:val="20"/>
        </w:rPr>
        <w:t xml:space="preserve">user_id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email</w:t>
      </w:r>
      <w:r>
        <w:t xml:space="preserve">; </w:t>
      </w:r>
      <w:r>
        <w:rPr>
          <w:b/>
          <w:bCs/>
        </w:rPr>
        <w:t xml:space="preserve">it expires after 1 day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src/shared/security/jwt.ts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config.ts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code does not set the algorithm: </w:t>
      </w:r>
      <w:r>
        <w:rPr>
          <w:rFonts w:ascii="Courier New" w:cs="Courier New" w:eastAsia="Courier New" w:hAnsi="Courier New"/>
          <w:sz w:val="20"/>
          <w:szCs w:val="20"/>
        </w:rPr>
        <w:t xml:space="preserve">jsonwebtoken</w:t>
      </w:r>
      <w:r>
        <w:t xml:space="preserve"> uses </w:t>
      </w:r>
      <w:r>
        <w:rPr>
          <w:b/>
          <w:bCs/>
        </w:rPr>
        <w:t xml:space="preserve">HS256</w:t>
      </w:r>
      <w:r>
        <w:t xml:space="preserve"> by default. (The documents that say RS256 are templates.)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auth_middleware.ts</w:t>
      </w:r>
      <w:r>
        <w:t xml:space="preserve"> requires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...</w:t>
      </w:r>
      <w:r>
        <w:t xml:space="preserve">, verifies the signature and sets </w:t>
      </w:r>
      <w:r>
        <w:rPr>
          <w:rFonts w:ascii="Courier New" w:cs="Courier New" w:eastAsia="Courier New" w:hAnsi="Courier New"/>
          <w:sz w:val="20"/>
          <w:szCs w:val="20"/>
        </w:rPr>
        <w:t xml:space="preserve">req.user = { userId, email }</w:t>
      </w:r>
      <w:r>
        <w:t xml:space="preserve">. </w:t>
      </w:r>
      <w:r>
        <w:rPr>
          <w:b/>
          <w:bCs/>
        </w:rPr>
        <w:t xml:space="preserve">It does not check the account status</w:t>
      </w:r>
      <w:r>
        <w:t xml:space="preserve">: a blocked account keeps a valid token until it expires.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Passwords with </w:t>
      </w:r>
      <w:r>
        <w:rPr>
          <w:b/>
          <w:bCs/>
        </w:rPr>
        <w:t xml:space="preserve">bcrypt</w:t>
      </w:r>
      <w:r>
        <w:t xml:space="preserve"> (Provos &amp; Mazières, 1999). Sign-in always performs a bcrypt comparison (against a fake hash if there is no account) to avoid timing leaks, and only reveals the status (</w:t>
      </w:r>
      <w:r>
        <w:rPr>
          <w:rFonts w:ascii="Courier New" w:cs="Courier New" w:eastAsia="Courier New" w:hAnsi="Courier New"/>
          <w:sz w:val="20"/>
          <w:szCs w:val="20"/>
        </w:rPr>
        <w:t xml:space="preserve">INACTIVE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BLOCKED</w:t>
      </w:r>
      <w:r>
        <w:t xml:space="preserve">) after the password has been verified.</w:t>
      </w:r>
    </w:p>
    <w:p>
      <w:pPr>
        <w:pStyle w:val="Heading2"/>
      </w:pPr>
      <w:r>
        <w:t xml:space="preserve">5.2 Email Verification and Recovery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New account = </w:t>
      </w:r>
      <w:r>
        <w:rPr>
          <w:rFonts w:ascii="Courier New" w:cs="Courier New" w:eastAsia="Courier New" w:hAnsi="Courier New"/>
          <w:sz w:val="20"/>
          <w:szCs w:val="20"/>
        </w:rPr>
        <w:t xml:space="preserve">INACTIVE</w:t>
      </w:r>
      <w:r>
        <w:t xml:space="preserve">. A </w:t>
      </w:r>
      <w:r>
        <w:rPr>
          <w:b/>
          <w:bCs/>
        </w:rPr>
        <w:t xml:space="preserve">6-digit code</w:t>
      </w:r>
      <w:r>
        <w:t xml:space="preserve"> is sent, generated with </w:t>
      </w:r>
      <w:r>
        <w:rPr>
          <w:rFonts w:ascii="Courier New" w:cs="Courier New" w:eastAsia="Courier New" w:hAnsi="Courier New"/>
          <w:sz w:val="20"/>
          <w:szCs w:val="20"/>
        </w:rPr>
        <w:t xml:space="preserve">crypto.randomInt</w:t>
      </w:r>
      <w:r>
        <w:t xml:space="preserve">, stored as a bcrypt hash; it </w:t>
      </w:r>
      <w:r>
        <w:rPr>
          <w:b/>
          <w:bCs/>
        </w:rPr>
        <w:t xml:space="preserve">expires after 15 minutes</w:t>
      </w:r>
      <w:r>
        <w:t xml:space="preserve">, allows </w:t>
      </w:r>
      <w:r>
        <w:rPr>
          <w:b/>
          <w:bCs/>
        </w:rPr>
        <w:t xml:space="preserve">5 attempts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MAX_ATTEMPTS</w:t>
      </w:r>
      <w:r>
        <w:t xml:space="preserve">), and resending requires a </w:t>
      </w:r>
      <w:r>
        <w:rPr>
          <w:b/>
          <w:bCs/>
        </w:rPr>
        <w:t xml:space="preserve">60 s</w:t>
      </w:r>
      <w:r>
        <w:t xml:space="preserve"> wait and is limited to </w:t>
      </w:r>
      <w:r>
        <w:rPr>
          <w:b/>
          <w:bCs/>
        </w:rPr>
        <w:t xml:space="preserve">5 per hour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auth/domain/service.ts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verify-email</w:t>
      </w:r>
      <w:r>
        <w:t xml:space="preserve"> requires the code </w:t>
      </w:r>
      <w:r>
        <w:rPr>
          <w:b/>
          <w:bCs/>
        </w:rPr>
        <w:t xml:space="preserve">and</w:t>
      </w:r>
      <w:r>
        <w:t xml:space="preserve"> the password (this prevents someone else from activating another person's account), and always returns the same generic error.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forgot-password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resend-verification</w:t>
      </w:r>
      <w:r>
        <w:t xml:space="preserve"> respond the same whether or not the account exists; the work runs in the background.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If the email cannot be sent, sign-up still creates the account (</w:t>
      </w:r>
      <w:r>
        <w:rPr>
          <w:rFonts w:ascii="Courier New" w:cs="Courier New" w:eastAsia="Courier New" w:hAnsi="Courier New"/>
          <w:sz w:val="20"/>
          <w:szCs w:val="20"/>
        </w:rPr>
        <w:t xml:space="preserve">verification_email_sent: false</w:t>
      </w:r>
      <w:r>
        <w:t xml:space="preserve">).</w:t>
      </w:r>
    </w:p>
    <w:p>
      <w:pPr>
        <w:pStyle w:val="Heading2"/>
      </w:pPr>
      <w:r>
        <w:t xml:space="preserve">5.3 Authorization (RBAC)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Permissions are read from the database </w:t>
      </w:r>
      <w:r>
        <w:rPr>
          <w:b/>
          <w:bCs/>
        </w:rPr>
        <w:t xml:space="preserve">on every protected request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listPermissionsForUser</w:t>
      </w:r>
      <w:r>
        <w:t xml:space="preserve">), so removing a role takes effect immediately (unless the client has already loaded the tabs).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Invariants in </w:t>
      </w:r>
      <w:r>
        <w:rPr>
          <w:rFonts w:ascii="Courier New" w:cs="Courier New" w:eastAsia="Courier New" w:hAnsi="Courier New"/>
          <w:sz w:val="20"/>
          <w:szCs w:val="20"/>
        </w:rPr>
        <w:t xml:space="preserve">iam/domain/service.ts</w:t>
      </w:r>
      <w:r>
        <w:t xml:space="preserve">: the last ADMIN is not revoked, nobody is left without roles, the base roles are protected and a role in use is not deleted.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first ADMIN is assigned </w:t>
      </w:r>
      <w:r>
        <w:rPr>
          <w:b/>
          <w:bCs/>
        </w:rPr>
        <w:t xml:space="preserve">manually with SQL</w:t>
      </w:r>
      <w:r>
        <w:t xml:space="preserve"> (there is no endpoint). See the Administrator manual, section 3.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Sign-up: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 calls the </w:t>
      </w:r>
      <w:r>
        <w:rPr>
          <w:rFonts w:ascii="Courier New" w:cs="Courier New" w:eastAsia="Courier New" w:hAnsi="Courier New"/>
          <w:sz w:val="20"/>
          <w:szCs w:val="20"/>
        </w:rPr>
        <w:t xml:space="preserve">roleAssigner</w:t>
      </w:r>
      <w:r>
        <w:t xml:space="preserve"> to grant USER; if it fails, it </w:t>
      </w:r>
      <w:r>
        <w:rPr>
          <w:b/>
          <w:bCs/>
        </w:rPr>
        <w:t xml:space="preserve">deletes the account</w:t>
      </w:r>
      <w:r>
        <w:t xml:space="preserve"> that was just created and responds with an error.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Analytics: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only stores and returns </w:t>
      </w:r>
      <w:r>
        <w:rPr>
          <w:b/>
          <w:bCs/>
        </w:rPr>
        <w:t xml:space="preserve">aggregates</w:t>
      </w:r>
      <w:r>
        <w:t xml:space="preserve"> per section; the report requires </w:t>
      </w:r>
      <w:r>
        <w:rPr>
          <w:rFonts w:ascii="Courier New" w:cs="Courier New" w:eastAsia="Courier New" w:hAnsi="Courier New"/>
          <w:sz w:val="20"/>
          <w:szCs w:val="20"/>
        </w:rPr>
        <w:t xml:space="preserve">stats.read</w:t>
      </w:r>
      <w:r>
        <w:t xml:space="preserve">.</w:t>
      </w:r>
    </w:p>
    <w:p>
      <w:pPr>
        <w:pStyle w:val="Heading2"/>
      </w:pPr>
      <w:r>
        <w:t xml:space="preserve">5.4 Open Risks</w:t>
      </w:r>
    </w:p>
    <w:p>
      <w:pPr>
        <w:keepNext/>
        <w:spacing w:line="480"/>
      </w:pPr>
      <w:r>
        <w:rPr>
          <w:b/>
          <w:bCs/>
        </w:rPr>
        <w:t xml:space="preserve">Table 6</w:t>
      </w:r>
    </w:p>
    <w:p>
      <w:pPr>
        <w:keepNext/>
        <w:spacing w:line="480"/>
      </w:pPr>
      <w:r>
        <w:rPr>
          <w:i/>
          <w:iCs/>
        </w:rPr>
        <w:t xml:space="preserve">Open Risks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57"/>
        <w:gridCol w:w="1598"/>
        <w:gridCol w:w="4705"/>
      </w:tblGrid>
      <w:tr>
        <w:trPr>
          <w:cantSplit/>
          <w:tblHeader/>
        </w:trPr>
        <w:tc>
          <w:tcPr>
            <w:tcW w:type="dxa" w:w="305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159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4705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POST/DELETE /api/sign-templates</w:t>
            </w:r>
            <w:r>
              <w:rPr>
                <w:sz w:val="22"/>
                <w:szCs w:val="22"/>
              </w:rPr>
              <w:t xml:space="preserve"> without role control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ia/adapters/inbound/http/routes.ts</w:t>
            </w:r>
            <w:r>
              <w:rPr>
                <w:sz w:val="22"/>
                <w:szCs w:val="22"/>
              </w:rPr>
              <w:t xml:space="preserve"> l. 15-16 only uses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authMiddleware</w:t>
            </w:r>
            <w:r>
              <w:rPr>
                <w:sz w:val="22"/>
                <w:szCs w:val="22"/>
              </w:rPr>
              <w:t xml:space="preserve">. Any authenticated account can upload or delete templates (this affects everyone's recognition). It should require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models.manage</w:t>
            </w:r>
            <w:r>
              <w:rPr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lexicon.write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Token still valid after blocking the account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middleware does not check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users.status</w:t>
            </w:r>
            <w:r>
              <w:rPr>
                <w:sz w:val="22"/>
                <w:szCs w:val="22"/>
              </w:rPr>
              <w:t xml:space="preserve">. Up to 1 day.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attempt limit 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/auth/login</w:t>
            </w:r>
            <w:r>
              <w:rPr>
                <w:sz w:val="22"/>
                <w:szCs w:val="22"/>
              </w:rPr>
              <w:t xml:space="preserve"> and no global limiter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There is no rate limit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main.ts</w:t>
            </w:r>
            <w:r>
              <w:rPr>
                <w:sz w:val="22"/>
                <w:szCs w:val="22"/>
              </w:rPr>
              <w:t xml:space="preserve"> and no dependency for it (code search).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Open CORS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Low/Medium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app.use(cors())</w:t>
            </w:r>
            <w:r>
              <w:rPr>
                <w:sz w:val="22"/>
                <w:szCs w:val="22"/>
              </w:rPr>
              <w:t xml:space="preserve"> with no list of origins.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account deletion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High (legal)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Law 1581 of 2012 (Ley 1581 de 2012): the frontend button only shows a notice. There is no deletion/anonymization route.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Missing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There is no validation at startup: if it is missing, token signing fails at runtime.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Strong password only on the client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backend does not validate strength: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auth_request.ts</w:t>
            </w:r>
            <w:r>
              <w:rPr>
                <w:sz w:val="22"/>
                <w:szCs w:val="22"/>
              </w:rPr>
              <w:t xml:space="preserve"> only limits the password to 72 bytes (bcrypt's limit). The rule of 8 characters with uppercase, a number and a symbol is only in the frontend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useRegisterForm.ts</w:t>
            </w:r>
            <w:r>
              <w:rPr>
                <w:sz w:val="22"/>
                <w:szCs w:val="22"/>
              </w:rPr>
              <w:t xml:space="preserve"> l. 44-49,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RegisterScreen.tsx</w:t>
            </w:r>
            <w:r>
              <w:rPr>
                <w:sz w:val="22"/>
                <w:szCs w:val="22"/>
              </w:rPr>
              <w:t xml:space="preserve"> l. 35-38); the API accepts weak passwords.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Token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AsyncStorage</w:t>
            </w:r>
            <w:r>
              <w:rPr>
                <w:sz w:val="22"/>
                <w:szCs w:val="22"/>
              </w:rPr>
              <w:t xml:space="preserve"> (web)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On the web,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AsyncStorage</w:t>
            </w:r>
            <w:r>
              <w:rPr>
                <w:sz w:val="22"/>
                <w:szCs w:val="22"/>
              </w:rPr>
              <w:t xml:space="preserve"> uses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localStorage</w:t>
            </w:r>
            <w:r>
              <w:rPr>
                <w:sz w:val="22"/>
                <w:szCs w:val="22"/>
              </w:rPr>
              <w:t xml:space="preserve">: any injected script (XSS) can read the token. On mobile,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expo-secure-store</w:t>
            </w:r>
            <w:r>
              <w:rPr>
                <w:sz w:val="22"/>
                <w:szCs w:val="22"/>
              </w:rPr>
              <w:t xml:space="preserve"> is used.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Development credentials in the compose file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Fixed values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docker-compose.yml</w:t>
            </w:r>
            <w:r>
              <w:rPr>
                <w:sz w:val="22"/>
                <w:szCs w:val="22"/>
              </w:rPr>
              <w:t xml:space="preserve"> (a file outside the repos). Do not use on servers.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Real password in plain text in another branch's documentation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Found in the Backend repo (not copied here). It must be </w:t>
            </w:r>
            <w:r>
              <w:rPr>
                <w:b/>
                <w:bCs/>
                <w:sz w:val="22"/>
                <w:szCs w:val="22"/>
              </w:rPr>
              <w:t xml:space="preserve">rotated and cleaned up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Frontend privacy texts with unverified claims</w:t>
            </w:r>
          </w:p>
        </w:tc>
        <w:tc>
          <w:tcPr>
            <w:tcW w:type="dxa" w:w="1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7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i18n/locales/*.ts</w:t>
            </w:r>
            <w:r>
              <w:rPr>
                <w:sz w:val="22"/>
                <w:szCs w:val="22"/>
              </w:rPr>
              <w:t xml:space="preserve"> claims HTTPS/encrypted WebSockets; there is no evidence of this in the code. They are not reproduced here.</w:t>
            </w:r>
          </w:p>
        </w:tc>
      </w:tr>
    </w:tbl>
    <w:p>
      <w:pPr>
        <w:spacing w:before="240" w:line="480"/>
        <w:ind w:firstLine="720"/>
      </w:pPr>
      <w:r>
        <w:t xml:space="preserve">Improvements that are </w:t>
      </w:r>
      <w:r>
        <w:rPr>
          <w:b/>
          <w:bCs/>
        </w:rPr>
        <w:t xml:space="preserve">no longer risks</w:t>
      </w:r>
      <w:r>
        <w:t xml:space="preserve"> compared with earlier versions: codes no longer use </w:t>
      </w:r>
      <w:r>
        <w:rPr>
          <w:rFonts w:ascii="Courier New" w:cs="Courier New" w:eastAsia="Courier New" w:hAnsi="Courier New"/>
          <w:sz w:val="20"/>
          <w:szCs w:val="20"/>
        </w:rPr>
        <w:t xml:space="preserve">Math.random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randomInt</w:t>
      </w:r>
      <w:r>
        <w:t xml:space="preserve">), and there is an attempt limit (in verification and recovery).</w:t>
      </w:r>
    </w:p>
    <w:p>
      <w:pPr>
        <w:pStyle w:val="Heading1"/>
      </w:pPr>
      <w:r>
        <w:t xml:space="preserve">6. Sign Recognition (AI)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Recognition runs in the browser.</w:t>
      </w:r>
      <w:r>
        <w:t xml:space="preserve"> The backend only stores and distributes templates (</w:t>
      </w:r>
      <w:r>
        <w:rPr>
          <w:rFonts w:ascii="Courier New" w:cs="Courier New" w:eastAsia="Courier New" w:hAnsi="Courier New"/>
          <w:sz w:val="20"/>
          <w:szCs w:val="20"/>
        </w:rPr>
        <w:t xml:space="preserve">Backend@develop:src/domains/ia/README.md</w:t>
      </w:r>
      <w:r>
        <w:t xml:space="preserve">: "does not infer").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Base: </w:t>
      </w:r>
      <w:r>
        <w:rPr>
          <w:b/>
          <w:bCs/>
        </w:rPr>
        <w:t xml:space="preserve">MediaPipe Tasks Vision 0.10.14</w:t>
      </w:r>
      <w:r>
        <w:t xml:space="preserve"> (HandLandmarker and PoseLandmarker; Lugaresi et al., 2019; Zhang et al., 2020), loaded from a CDN. 21 normalized points per hand.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Two modes in </w:t>
      </w:r>
      <w:r>
        <w:rPr>
          <w:rFonts w:ascii="Courier New" w:cs="Courier New" w:eastAsia="Courier New" w:hAnsi="Courier New"/>
          <w:sz w:val="20"/>
          <w:szCs w:val="20"/>
        </w:rPr>
        <w:t xml:space="preserve">TranslationScreen</w:t>
      </w:r>
      <w:r>
        <w:t xml:space="preserve">: </w:t>
      </w:r>
      <w:r>
        <w:rPr>
          <w:b/>
          <w:bCs/>
        </w:rPr>
        <w:t xml:space="preserve">Words</w:t>
      </w:r>
      <w:r>
        <w:t xml:space="preserve"> (default, web only) and </w:t>
      </w:r>
      <w:r>
        <w:rPr>
          <w:b/>
          <w:bCs/>
        </w:rPr>
        <w:t xml:space="preserve">Alphabet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0" w:before="0" w:line="480"/>
      </w:pPr>
      <w:r>
        <w:rPr>
          <w:b/>
          <w:bCs/>
        </w:rPr>
        <w:t xml:space="preserve">Words:</w:t>
      </w:r>
      <w:r>
        <w:t xml:space="preserve"> if there is a custom model (</w:t>
      </w:r>
      <w:r>
        <w:rPr>
          <w:rFonts w:ascii="Courier New" w:cs="Courier New" w:eastAsia="Courier New" w:hAnsi="Courier New"/>
          <w:sz w:val="20"/>
          <w:szCs w:val="20"/>
        </w:rPr>
        <w:t xml:space="preserve">public/models/lsc/</w:t>
      </w:r>
      <w:r>
        <w:t xml:space="preserve">, TF.js, 30 × 128 input, </w:t>
      </w:r>
      <w:r>
        <w:rPr>
          <w:rFonts w:ascii="Courier New" w:cs="Courier New" w:eastAsia="Courier New" w:hAnsi="Courier New"/>
          <w:sz w:val="20"/>
          <w:szCs w:val="20"/>
        </w:rPr>
        <w:t xml:space="preserve">glosas.json</w:t>
      </w:r>
      <w:r>
        <w:t xml:space="preserve"> with 54 words), it uses it (</w:t>
      </w:r>
      <w:r>
        <w:rPr>
          <w:rFonts w:ascii="Courier New" w:cs="Courier New" w:eastAsia="Courier New" w:hAnsi="Courier New"/>
          <w:sz w:val="20"/>
          <w:szCs w:val="20"/>
        </w:rPr>
        <w:t xml:space="preserve">modelWordEngine.web.ts</w:t>
      </w:r>
      <w:r>
        <w:t xml:space="preserve">); otherwise it falls back to the generic 7-gesture </w:t>
      </w:r>
      <w:r>
        <w:rPr>
          <w:rFonts w:ascii="Courier New" w:cs="Courier New" w:eastAsia="Courier New" w:hAnsi="Courier New"/>
          <w:sz w:val="20"/>
          <w:szCs w:val="20"/>
        </w:rPr>
        <w:t xml:space="preserve">GestureRecognizer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0" w:before="0" w:line="480"/>
      </w:pPr>
      <w:r>
        <w:rPr>
          <w:b/>
          <w:bCs/>
        </w:rPr>
        <w:t xml:space="preserve">Alphabet:</w:t>
      </w:r>
      <w:r>
        <w:t xml:space="preserve"> geometry + </w:t>
      </w:r>
      <w:r>
        <w:rPr>
          <w:b/>
          <w:bCs/>
        </w:rPr>
        <w:t xml:space="preserve">KNN</w:t>
      </w:r>
      <w:r>
        <w:t xml:space="preserve"> (Cover &amp; Hart, 1967) + </w:t>
      </w:r>
      <w:r>
        <w:rPr>
          <w:b/>
          <w:bCs/>
        </w:rPr>
        <w:t xml:space="preserve">DTW</w:t>
      </w:r>
      <w:r>
        <w:t xml:space="preserve"> (Sakoe &amp; Chiba, 1978) with 16-frame templates. The templates are downloaded from </w:t>
      </w:r>
      <w:r>
        <w:rPr>
          <w:rFonts w:ascii="Courier New" w:cs="Courier New" w:eastAsia="Courier New" w:hAnsi="Courier New"/>
          <w:sz w:val="20"/>
          <w:szCs w:val="20"/>
        </w:rPr>
        <w:t xml:space="preserve">GET /api/sign-templates?kind=motion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Two input formats coexist</w:t>
      </w:r>
      <w:r>
        <w:t xml:space="preserve"> (16 × 126 in DTW and 30 × 128 in the TF.js model): they are not the same pipeline.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On iOS/Android, Words mode is not supported (</w:t>
      </w:r>
      <w:r>
        <w:rPr>
          <w:rFonts w:ascii="Courier New" w:cs="Courier New" w:eastAsia="Courier New" w:hAnsi="Courier New"/>
          <w:sz w:val="20"/>
          <w:szCs w:val="20"/>
        </w:rPr>
        <w:t xml:space="preserve">wordEngine.ts</w:t>
      </w:r>
      <w:r>
        <w:t xml:space="preserve">). </w:t>
      </w:r>
      <w:r>
        <w:rPr>
          <w:rFonts w:ascii="Courier New" w:cs="Courier New" w:eastAsia="Courier New" w:hAnsi="Courier New"/>
          <w:sz w:val="20"/>
          <w:szCs w:val="20"/>
        </w:rPr>
        <w:t xml:space="preserve">TFJS_MODEL_URL = ''</w:t>
      </w:r>
      <w:r>
        <w:t xml:space="preserve">: the mobile TF.js path is inactive.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Training outside the server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Backend@develop:src/domains/ia/training/</w:t>
      </w:r>
      <w:r>
        <w:t xml:space="preserve">): TypeScript scripts (</w:t>
      </w:r>
      <w:r>
        <w:rPr>
          <w:rFonts w:ascii="Courier New" w:cs="Courier New" w:eastAsia="Courier New" w:hAnsi="Courier New"/>
          <w:sz w:val="20"/>
          <w:szCs w:val="20"/>
        </w:rPr>
        <w:t xml:space="preserve">npm run ia:*</w:t>
      </w:r>
      <w:r>
        <w:t xml:space="preserve">) to download/convert the LSC-54 dataset (Mora-Zarate et al., 2025) and upload templates; Python/Keras scripts and Colab notebooks to train a Conv1D + GRU model and export it to TensorFlow.js (Google, n.d.). The resulting model is copied to </w:t>
      </w:r>
      <w:r>
        <w:rPr>
          <w:rFonts w:ascii="Courier New" w:cs="Courier New" w:eastAsia="Courier New" w:hAnsi="Courier New"/>
          <w:sz w:val="20"/>
          <w:szCs w:val="20"/>
        </w:rPr>
        <w:t xml:space="preserve">Frontend/public/models/lsc/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LSC-54 dataset license:</w:t>
      </w:r>
      <w:r>
        <w:t xml:space="preserve"> CC BY-NC 4.0 (non-commercial use, it must be cited). This conflicts with the open decision about a commercial fee.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model learned from people recorded in a studio; it may fail with a different camera. That is why the "My repetitions" screen (</w:t>
      </w:r>
      <w:r>
        <w:rPr>
          <w:rFonts w:ascii="Courier New" w:cs="Courier New" w:eastAsia="Courier New" w:hAnsi="Courier New"/>
          <w:sz w:val="20"/>
          <w:szCs w:val="20"/>
        </w:rPr>
        <w:t xml:space="preserve">ModelSamplesScreen</w:t>
      </w:r>
      <w:r>
        <w:t xml:space="preserve">) exists: it records your own repetitions to readjust it. The accuracy of the current model has not been measured yet.</w:t>
      </w:r>
    </w:p>
    <w:p>
      <w:pPr>
        <w:pStyle w:val="Heading1"/>
      </w:pPr>
      <w:r>
        <w:t xml:space="preserve">7. Frontend</w:t>
      </w:r>
    </w:p>
    <w:p>
      <w:pPr>
        <w:spacing w:line="480"/>
        <w:ind w:firstLine="720"/>
      </w:pPr>
      <w:r>
        <w:t xml:space="preserve">Structure (</w:t>
      </w:r>
      <w:r>
        <w:rPr>
          <w:rFonts w:ascii="Courier New" w:cs="Courier New" w:eastAsia="Courier New" w:hAnsi="Courier New"/>
          <w:sz w:val="20"/>
          <w:szCs w:val="20"/>
        </w:rPr>
        <w:t xml:space="preserve">src</w:t>
      </w:r>
      <w:r>
        <w:t xml:space="preserve"> of the Frontend repository): </w:t>
      </w:r>
      <w:r>
        <w:rPr>
          <w:rFonts w:ascii="Courier New" w:cs="Courier New" w:eastAsia="Courier New" w:hAnsi="Courier New"/>
          <w:sz w:val="20"/>
          <w:szCs w:val="20"/>
        </w:rPr>
        <w:t xml:space="preserve">app/</w:t>
      </w:r>
      <w:r>
        <w:t xml:space="preserve"> (config, providers, routes), </w:t>
      </w:r>
      <w:r>
        <w:rPr>
          <w:rFonts w:ascii="Courier New" w:cs="Courier New" w:eastAsia="Courier New" w:hAnsi="Courier New"/>
          <w:sz w:val="20"/>
          <w:szCs w:val="20"/>
        </w:rPr>
        <w:t xml:space="preserve">feature/</w:t>
      </w:r>
      <w:r>
        <w:t xml:space="preserve"> (Admin, Alphabet, History, Profile, Stats, Translation, auth, homescreen), </w:t>
      </w:r>
      <w:r>
        <w:rPr>
          <w:rFonts w:ascii="Courier New" w:cs="Courier New" w:eastAsia="Courier New" w:hAnsi="Courier New"/>
          <w:sz w:val="20"/>
          <w:szCs w:val="20"/>
        </w:rPr>
        <w:t xml:space="preserve">shared/</w:t>
      </w:r>
      <w:r>
        <w:t xml:space="preserve"> (components, constants, services, types, utilities), and </w:t>
      </w:r>
      <w:r>
        <w:rPr>
          <w:rFonts w:ascii="Courier New" w:cs="Courier New" w:eastAsia="Courier New" w:hAnsi="Courier New"/>
          <w:sz w:val="20"/>
          <w:szCs w:val="20"/>
        </w:rPr>
        <w:t xml:space="preserve">public/models/lsc/</w:t>
      </w:r>
      <w:r>
        <w:t xml:space="preserve"> (model).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Providers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App.tsx</w:t>
      </w:r>
      <w:r>
        <w:t xml:space="preserve">): </w:t>
      </w:r>
      <w:r>
        <w:rPr>
          <w:rFonts w:ascii="Courier New" w:cs="Courier New" w:eastAsia="Courier New" w:hAnsi="Courier New"/>
          <w:sz w:val="20"/>
          <w:szCs w:val="20"/>
        </w:rPr>
        <w:t xml:space="preserve">SafeAreaProvider</w:t>
      </w:r>
      <w:r>
        <w:t xml:space="preserve"> &gt; </w:t>
      </w:r>
      <w:r>
        <w:rPr>
          <w:rFonts w:ascii="Courier New" w:cs="Courier New" w:eastAsia="Courier New" w:hAnsi="Courier New"/>
          <w:sz w:val="20"/>
          <w:szCs w:val="20"/>
        </w:rPr>
        <w:t xml:space="preserve">LanguageProvider</w:t>
      </w:r>
      <w:r>
        <w:t xml:space="preserve"> &gt; </w:t>
      </w:r>
      <w:r>
        <w:rPr>
          <w:rFonts w:ascii="Courier New" w:cs="Courier New" w:eastAsia="Courier New" w:hAnsi="Courier New"/>
          <w:sz w:val="20"/>
          <w:szCs w:val="20"/>
        </w:rPr>
        <w:t xml:space="preserve">ThemeProvider</w:t>
      </w:r>
      <w:r>
        <w:t xml:space="preserve"> &gt; </w:t>
      </w:r>
      <w:r>
        <w:rPr>
          <w:rFonts w:ascii="Courier New" w:cs="Courier New" w:eastAsia="Courier New" w:hAnsi="Courier New"/>
          <w:sz w:val="20"/>
          <w:szCs w:val="20"/>
        </w:rPr>
        <w:t xml:space="preserve">AuthProvider</w:t>
      </w:r>
      <w:r>
        <w:t xml:space="preserve"> &gt; </w:t>
      </w:r>
      <w:r>
        <w:rPr>
          <w:rFonts w:ascii="Courier New" w:cs="Courier New" w:eastAsia="Courier New" w:hAnsi="Courier New"/>
          <w:sz w:val="20"/>
          <w:szCs w:val="20"/>
        </w:rPr>
        <w:t xml:space="preserve">AccessProvider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AccessContext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app/providers/AccessContext.tsx</w:t>
      </w:r>
      <w:r>
        <w:t xml:space="preserve">): when signing in it calls </w:t>
      </w:r>
      <w:r>
        <w:rPr>
          <w:rFonts w:ascii="Courier New" w:cs="Courier New" w:eastAsia="Courier New" w:hAnsi="Courier New"/>
          <w:sz w:val="20"/>
          <w:szCs w:val="20"/>
        </w:rPr>
        <w:t xml:space="preserve">GET /api/iam/me/access</w:t>
      </w:r>
      <w:r>
        <w:t xml:space="preserve"> and stores </w:t>
      </w:r>
      <w:r>
        <w:rPr>
          <w:rFonts w:ascii="Courier New" w:cs="Courier New" w:eastAsia="Courier New" w:hAnsi="Courier New"/>
          <w:sz w:val="20"/>
          <w:szCs w:val="20"/>
        </w:rPr>
        <w:t xml:space="preserve">roles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permissions</w:t>
      </w:r>
      <w:r>
        <w:t xml:space="preserve">. If it fails, it denies everything and shows a warning ("accessLoadError"). </w:t>
      </w:r>
      <w:r>
        <w:rPr>
          <w:rFonts w:ascii="Courier New" w:cs="Courier New" w:eastAsia="Courier New" w:hAnsi="Courier New"/>
          <w:sz w:val="20"/>
          <w:szCs w:val="20"/>
        </w:rPr>
        <w:t xml:space="preserve">useAdminMode()</w:t>
      </w:r>
      <w:r>
        <w:t xml:space="preserve"> derives </w:t>
      </w:r>
      <w:r>
        <w:rPr>
          <w:rFonts w:ascii="Courier New" w:cs="Courier New" w:eastAsia="Courier New" w:hAnsi="Courier New"/>
          <w:sz w:val="20"/>
          <w:szCs w:val="20"/>
        </w:rPr>
        <w:t xml:space="preserve">adminMode</w:t>
      </w:r>
      <w:r>
        <w:t xml:space="preserve"> (= </w:t>
      </w:r>
      <w:r>
        <w:rPr>
          <w:rFonts w:ascii="Courier New" w:cs="Courier New" w:eastAsia="Courier New" w:hAnsi="Courier New"/>
          <w:sz w:val="20"/>
          <w:szCs w:val="20"/>
        </w:rPr>
        <w:t xml:space="preserve">users.manage</w:t>
      </w:r>
      <w:r>
        <w:t xml:space="preserve">), </w:t>
      </w:r>
      <w:r>
        <w:rPr>
          <w:rFonts w:ascii="Courier New" w:cs="Courier New" w:eastAsia="Courier New" w:hAnsi="Courier New"/>
          <w:sz w:val="20"/>
          <w:szCs w:val="20"/>
        </w:rPr>
        <w:t xml:space="preserve">canStats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stats.read</w:t>
      </w:r>
      <w:r>
        <w:t xml:space="preserve">) and </w:t>
      </w:r>
      <w:r>
        <w:rPr>
          <w:rFonts w:ascii="Courier New" w:cs="Courier New" w:eastAsia="Courier New" w:hAnsi="Courier New"/>
          <w:sz w:val="20"/>
          <w:szCs w:val="20"/>
        </w:rPr>
        <w:t xml:space="preserve">canAdmin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users.manage</w:t>
      </w:r>
      <w:r>
        <w:t xml:space="preserve"> or </w:t>
      </w:r>
      <w:r>
        <w:rPr>
          <w:rFonts w:ascii="Courier New" w:cs="Courier New" w:eastAsia="Courier New" w:hAnsi="Courier New"/>
          <w:sz w:val="20"/>
          <w:szCs w:val="20"/>
        </w:rPr>
        <w:t xml:space="preserve">models.manage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Navigation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MainTabNavigator.tsx</w:t>
      </w:r>
      <w:r>
        <w:t xml:space="preserve">): with </w:t>
      </w:r>
      <w:r>
        <w:rPr>
          <w:rFonts w:ascii="Courier New" w:cs="Courier New" w:eastAsia="Courier New" w:hAnsi="Courier New"/>
          <w:sz w:val="20"/>
          <w:szCs w:val="20"/>
        </w:rPr>
        <w:t xml:space="preserve">adminMode</w:t>
      </w:r>
      <w:r>
        <w:t xml:space="preserve">, Statistics/Admin/Profile are shown; without it, Translation/Alphabet/History/Profile. An ADMIN does not see Translation.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HTTP client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shared/services/api.client.ts</w:t>
      </w:r>
      <w:r>
        <w:t xml:space="preserve">): axios with the token in </w:t>
      </w:r>
      <w:r>
        <w:rPr>
          <w:rFonts w:ascii="Courier New" w:cs="Courier New" w:eastAsia="Courier New" w:hAnsi="Courier New"/>
          <w:sz w:val="20"/>
          <w:szCs w:val="20"/>
        </w:rPr>
        <w:t xml:space="preserve">expo-secure-store</w:t>
      </w:r>
      <w:r>
        <w:t xml:space="preserve"> (mobile) or </w:t>
      </w:r>
      <w:r>
        <w:rPr>
          <w:rFonts w:ascii="Courier New" w:cs="Courier New" w:eastAsia="Courier New" w:hAnsi="Courier New"/>
          <w:sz w:val="20"/>
          <w:szCs w:val="20"/>
        </w:rPr>
        <w:t xml:space="preserve">AsyncStorage</w:t>
      </w:r>
      <w:r>
        <w:t xml:space="preserve"> (web); an interceptor adds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</w:t>
      </w:r>
      <w:r>
        <w:t xml:space="preserve"> only to the app's own API and warns on 401.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i18n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app/config/i18n/locales/</w:t>
      </w:r>
      <w:r>
        <w:t xml:space="preserve">): Spanish, English, French and Portuguese; Spanish is the default language.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.web.ts</w:t>
      </w:r>
      <w:r>
        <w:rPr>
          <w:b/>
          <w:bCs/>
        </w:rPr>
        <w:t xml:space="preserve"> files:</w:t>
      </w:r>
      <w:r>
        <w:t xml:space="preserve"> Metro picks </w:t>
      </w:r>
      <w:r>
        <w:rPr>
          <w:rFonts w:ascii="Courier New" w:cs="Courier New" w:eastAsia="Courier New" w:hAnsi="Courier New"/>
          <w:sz w:val="20"/>
          <w:szCs w:val="20"/>
        </w:rPr>
        <w:t xml:space="preserve">*.web.ts</w:t>
      </w:r>
      <w:r>
        <w:t xml:space="preserve"> on the web (for example </w:t>
      </w:r>
      <w:r>
        <w:rPr>
          <w:rFonts w:ascii="Courier New" w:cs="Courier New" w:eastAsia="Courier New" w:hAnsi="Courier New"/>
          <w:sz w:val="20"/>
          <w:szCs w:val="20"/>
        </w:rPr>
        <w:t xml:space="preserve">wordEngine.web.ts</w:t>
      </w:r>
      <w:r>
        <w:t xml:space="preserve">).</w:t>
      </w:r>
    </w:p>
    <w:p>
      <w:pPr>
        <w:spacing w:line="480"/>
        <w:ind w:firstLine="720"/>
      </w:pPr>
      <w:r>
        <w:t xml:space="preserve">Connection status of screens with the backend:</w:t>
      </w:r>
    </w:p>
    <w:p>
      <w:pPr>
        <w:keepNext/>
        <w:spacing w:line="480"/>
      </w:pPr>
      <w:r>
        <w:rPr>
          <w:b/>
          <w:bCs/>
        </w:rPr>
        <w:t xml:space="preserve">Table 7</w:t>
      </w:r>
    </w:p>
    <w:p>
      <w:pPr>
        <w:keepNext/>
        <w:spacing w:line="480"/>
      </w:pPr>
      <w:r>
        <w:rPr>
          <w:i/>
          <w:iCs/>
        </w:rPr>
        <w:t xml:space="preserve">Frontend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17"/>
        <w:gridCol w:w="4943"/>
      </w:tblGrid>
      <w:tr>
        <w:trPr>
          <w:cantSplit/>
          <w:tblHeader/>
        </w:trPr>
        <w:tc>
          <w:tcPr>
            <w:tcW w:type="dxa" w:w="441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Screen / function</w:t>
            </w:r>
          </w:p>
        </w:tc>
        <w:tc>
          <w:tcPr>
            <w:tcW w:type="dxa" w:w="4943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Connected?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Sign-in, sign-up, verify email, resend code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Translation (save), History (list/delete)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Permissions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/iam/me/access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Templates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/sign-templates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Forgot password / code / new password / change password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: they use a simulated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setTimeout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ForgotPasswordScreen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VerifyCodeScreen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NewPasswordScreen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ChangePasswordScreen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 account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: it only shows a notice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ProfileScreen.tsx</w:t>
            </w:r>
            <w:r>
              <w:rPr>
                <w:sz w:val="22"/>
                <w:szCs w:val="22"/>
              </w:rPr>
              <w:t xml:space="preserve"> l. 66-75)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Statistics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: hard-coded numbers and charts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StatsScreen.tsx</w:t>
            </w:r>
            <w:r>
              <w:rPr>
                <w:sz w:val="22"/>
                <w:szCs w:val="22"/>
              </w:rPr>
              <w:t xml:space="preserve">);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ENDPOINTS.analytics*</w:t>
            </w:r>
            <w:r>
              <w:rPr>
                <w:sz w:val="22"/>
                <w:szCs w:val="22"/>
              </w:rPr>
              <w:t xml:space="preserve"> are defined and unused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Role management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/iam/roles</w:t>
            </w:r>
            <w:r>
              <w:rPr>
                <w:sz w:val="22"/>
                <w:szCs w:val="22"/>
              </w:rPr>
              <w:t xml:space="preserve">, etc.)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There is no screen</w:t>
            </w:r>
            <w:r>
              <w:rPr>
                <w:sz w:val="22"/>
                <w:szCs w:val="22"/>
              </w:rPr>
              <w:t xml:space="preserve">; API only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Google and Facebook buttons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 (no function;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LoginScreen.tsx</w:t>
            </w:r>
            <w:r>
              <w:rPr>
                <w:sz w:val="22"/>
                <w:szCs w:val="22"/>
              </w:rPr>
              <w:t xml:space="preserve"> l. 145-150)</w:t>
            </w:r>
          </w:p>
        </w:tc>
      </w:tr>
      <w:tr>
        <w:trPr>
          <w:cantSplit/>
        </w:trPr>
        <w:tc>
          <w:tcPr>
            <w:tcW w:type="dxa" w:w="44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Notifications (switch in Profile, only 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notifications.manage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4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: local screen state only; it is not saved and does not call the server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ProfileScreen.tsx</w:t>
            </w:r>
            <w:r>
              <w:rPr>
                <w:sz w:val="22"/>
                <w:szCs w:val="22"/>
              </w:rPr>
              <w:t xml:space="preserve"> l. 45-48 and 195-197)</w:t>
            </w:r>
          </w:p>
        </w:tc>
      </w:tr>
    </w:tbl>
    <w:p>
      <w:pPr>
        <w:spacing w:before="240" w:line="480"/>
        <w:ind w:left="720"/>
      </w:pPr>
      <w:r>
        <w:rPr>
          <w:b/>
          <w:bCs/>
        </w:rPr>
        <w:t xml:space="preserve">Notifications in the backend.</w:t>
      </w:r>
      <w:r>
        <w:t xml:space="preserve"> The latest version of the Backend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branch, now organized as microservices, includes two routes in </w:t>
      </w:r>
      <w:r>
        <w:rPr>
          <w:rFonts w:ascii="Courier New" w:cs="Courier New" w:eastAsia="Courier New" w:hAnsi="Courier New"/>
          <w:sz w:val="20"/>
          <w:szCs w:val="20"/>
        </w:rPr>
        <w:t xml:space="preserve">profile-service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GET /api/notifications</w:t>
      </w:r>
      <w:r>
        <w:t xml:space="preserve"> (paginated list; parameters </w:t>
      </w:r>
      <w:r>
        <w:rPr>
          <w:rFonts w:ascii="Courier New" w:cs="Courier New" w:eastAsia="Courier New" w:hAnsi="Courier New"/>
          <w:sz w:val="20"/>
          <w:szCs w:val="20"/>
        </w:rPr>
        <w:t xml:space="preserve">page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limit</w:t>
      </w:r>
      <w:r>
        <w:t xml:space="preserve"> max. 100 and </w:t>
      </w:r>
      <w:r>
        <w:rPr>
          <w:rFonts w:ascii="Courier New" w:cs="Courier New" w:eastAsia="Courier New" w:hAnsi="Courier New"/>
          <w:sz w:val="20"/>
          <w:szCs w:val="20"/>
        </w:rPr>
        <w:t xml:space="preserve">unreadOnly</w:t>
      </w:r>
      <w:r>
        <w:t xml:space="preserve">) and </w:t>
      </w:r>
      <w:r>
        <w:rPr>
          <w:rFonts w:ascii="Courier New" w:cs="Courier New" w:eastAsia="Courier New" w:hAnsi="Courier New"/>
          <w:sz w:val="20"/>
          <w:szCs w:val="20"/>
        </w:rPr>
        <w:t xml:space="preserve">PATCH /api/notifications/:id/read</w:t>
      </w:r>
      <w:r>
        <w:t xml:space="preserve"> (mark as read), both requiring a token. They are not in the table in section 3.2, which describes </w:t>
      </w:r>
      <w:r>
        <w:rPr>
          <w:rFonts w:ascii="Courier New" w:cs="Courier New" w:eastAsia="Courier New" w:hAnsi="Courier New"/>
          <w:sz w:val="20"/>
          <w:szCs w:val="20"/>
        </w:rPr>
        <w:t xml:space="preserve">2c4e62d</w:t>
      </w:r>
      <w:r>
        <w:t xml:space="preserve">, and the frontend does not use them yet.</w:t>
      </w:r>
    </w:p>
    <w:p>
      <w:pPr>
        <w:pStyle w:val="Heading1"/>
      </w:pPr>
      <w:r>
        <w:t xml:space="preserve">8. Diagrams</w:t>
      </w:r>
    </w:p>
    <w:p>
      <w:pPr>
        <w:spacing w:line="480"/>
        <w:ind w:firstLine="720"/>
      </w:pPr>
      <w:r>
        <w:t xml:space="preserve">The class diagrams (CL) were made with PlantUML and are based on </w:t>
      </w:r>
      <w:r>
        <w:rPr>
          <w:rFonts w:ascii="Courier New" w:cs="Courier New" w:eastAsia="Courier New" w:hAnsi="Courier New"/>
          <w:sz w:val="20"/>
          <w:szCs w:val="20"/>
        </w:rPr>
        <w:t xml:space="preserve">backendTS@c142c80</w:t>
      </w:r>
      <w:r>
        <w:t xml:space="preserve">: they </w:t>
      </w:r>
      <w:r>
        <w:rPr>
          <w:b/>
          <w:bCs/>
        </w:rPr>
        <w:t xml:space="preserve">do not include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or the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 changes in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.</w:t>
      </w:r>
    </w:p>
    <w:p>
      <w:pPr>
        <w:keepNext/>
        <w:spacing w:line="480"/>
      </w:pPr>
      <w:r>
        <w:rPr>
          <w:b/>
          <w:bCs/>
        </w:rPr>
        <w:t xml:space="preserve">Figure 1</w:t>
      </w:r>
    </w:p>
    <w:p>
      <w:pPr>
        <w:keepNext/>
        <w:spacing w:line="480"/>
      </w:pPr>
      <w:r>
        <w:rPr>
          <w:i/>
          <w:iCs/>
        </w:rPr>
        <w:t xml:space="preserve">CL-02, Backend Overview (Based on c142c80, Before iam and Analytics)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1371600"/>
            <wp:effectExtent t="0" r="0" b="0" l="0"/>
            <wp:docPr id="15" name="class-backend-overview.svg" descr="CL-02: backend overview (based on c142c80)" title="CL-02: backend overview (based on c142c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line="480"/>
      </w:pPr>
      <w:r>
        <w:rPr>
          <w:b/>
          <w:bCs/>
        </w:rPr>
        <w:t xml:space="preserve">Table 8</w:t>
      </w:r>
    </w:p>
    <w:p>
      <w:pPr>
        <w:keepNext/>
        <w:spacing w:line="480"/>
      </w:pPr>
      <w:r>
        <w:rPr>
          <w:i/>
          <w:iCs/>
        </w:rPr>
        <w:t xml:space="preserve">Diagrams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72"/>
        <w:gridCol w:w="3979"/>
        <w:gridCol w:w="4109"/>
      </w:tblGrid>
      <w:tr>
        <w:trPr>
          <w:cantSplit/>
          <w:tblHeader/>
        </w:trPr>
        <w:tc>
          <w:tcPr>
            <w:tcW w:type="dxa" w:w="1272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97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Diagram</w:t>
            </w:r>
          </w:p>
        </w:tc>
        <w:tc>
          <w:tcPr>
            <w:tcW w:type="dxa" w:w="410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CL-01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Classes by pattern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class-backend-patterns.svg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CL-02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Overview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class-backend-overview.svg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CL-03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auth domain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class-backend-auth.svg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CL-04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users domain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class-backend-users.svg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CL-05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translations domain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class-backend-translations.svg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CL-06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ia domain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class-backend-ia.svg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CL-07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Shared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class-backend-shared.svg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CL-08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Planned entities (not implemented)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class-backend-planned.svg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UC-01</w:t>
            </w:r>
          </w:p>
        </w:tc>
        <w:tc>
          <w:tcPr>
            <w:tcW w:type="dxa" w:w="39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Use cases (imported PDF, no source)</w:t>
            </w:r>
          </w:p>
        </w:tc>
        <w:tc>
          <w:tcPr>
            <w:tcW w:type="dxa" w:w="41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use-cases.pdf</w:t>
            </w:r>
          </w:p>
        </w:tc>
      </w:tr>
    </w:tbl>
    <w:p>
      <w:pPr>
        <w:spacing w:before="240" w:line="480"/>
        <w:ind w:firstLine="720"/>
      </w:pPr>
      <w:r>
        <w:t xml:space="preserve">Diagram UC-01 should be read together with the MVP scope: sign to text or speech only.</w:t>
      </w:r>
    </w:p>
    <w:p>
      <w:pPr>
        <w:pStyle w:val="Heading1"/>
      </w:pPr>
      <w:r>
        <w:t xml:space="preserve">9. Tests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Backend</w:t>
      </w:r>
      <w:r>
        <w:t xml:space="preserve"> (in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): 17 </w:t>
      </w:r>
      <w:r>
        <w:rPr>
          <w:rFonts w:ascii="Courier New" w:cs="Courier New" w:eastAsia="Courier New" w:hAnsi="Courier New"/>
          <w:sz w:val="20"/>
          <w:szCs w:val="20"/>
        </w:rPr>
        <w:t xml:space="preserve">*.test.ts</w:t>
      </w:r>
      <w:r>
        <w:t xml:space="preserve"> files in </w:t>
      </w:r>
      <w:r>
        <w:rPr>
          <w:rFonts w:ascii="Courier New" w:cs="Courier New" w:eastAsia="Courier New" w:hAnsi="Courier New"/>
          <w:sz w:val="20"/>
          <w:szCs w:val="20"/>
        </w:rPr>
        <w:t xml:space="preserve">tests/</w:t>
      </w:r>
      <w:r>
        <w:t xml:space="preserve"> (domain, application and adapters of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ia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translations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users</w:t>
      </w:r>
      <w:r>
        <w:t xml:space="preserve">) with </w:t>
      </w:r>
      <w:r>
        <w:rPr>
          <w:b/>
          <w:bCs/>
        </w:rPr>
        <w:t xml:space="preserve">vitest 5</w:t>
      </w:r>
      <w:r>
        <w:t xml:space="preserve">. Command: </w:t>
      </w:r>
      <w:r>
        <w:rPr>
          <w:rFonts w:ascii="Courier New" w:cs="Courier New" w:eastAsia="Courier New" w:hAnsi="Courier New"/>
          <w:sz w:val="20"/>
          <w:szCs w:val="20"/>
        </w:rPr>
        <w:t xml:space="preserve">npm test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vitest run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Frontend:</w:t>
      </w:r>
      <w:r>
        <w:t xml:space="preserve"> there is no </w:t>
      </w:r>
      <w:r>
        <w:rPr>
          <w:rFonts w:ascii="Courier New" w:cs="Courier New" w:eastAsia="Courier New" w:hAnsi="Courier New"/>
          <w:sz w:val="20"/>
          <w:szCs w:val="20"/>
        </w:rPr>
        <w:t xml:space="preserve">test</w:t>
      </w:r>
      <w:r>
        <w:t xml:space="preserve"> script. Only </w:t>
      </w:r>
      <w:r>
        <w:rPr>
          <w:rFonts w:ascii="Courier New" w:cs="Courier New" w:eastAsia="Courier New" w:hAnsi="Courier New"/>
          <w:sz w:val="20"/>
          <w:szCs w:val="20"/>
        </w:rPr>
        <w:t xml:space="preserve">npm run typecheck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tsc --noEmit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CI:</w:t>
      </w:r>
      <w:r>
        <w:t xml:space="preserve"> no repository has GitHub Actions workflows: </w:t>
      </w:r>
      <w:r>
        <w:rPr>
          <w:rFonts w:ascii="Courier New" w:cs="Courier New" w:eastAsia="Courier New" w:hAnsi="Courier New"/>
          <w:sz w:val="20"/>
          <w:szCs w:val="20"/>
        </w:rPr>
        <w:t xml:space="preserve">Backend@develop</w:t>
      </w:r>
      <w:r>
        <w:t xml:space="preserve"> has no </w:t>
      </w:r>
      <w:r>
        <w:rPr>
          <w:rFonts w:ascii="Courier New" w:cs="Courier New" w:eastAsia="Courier New" w:hAnsi="Courier New"/>
          <w:sz w:val="20"/>
          <w:szCs w:val="20"/>
        </w:rPr>
        <w:t xml:space="preserve">.github/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Frontend</w:t>
      </w:r>
      <w:r>
        <w:t xml:space="preserve"> only has Copilot notes in </w:t>
      </w:r>
      <w:r>
        <w:rPr>
          <w:rFonts w:ascii="Courier New" w:cs="Courier New" w:eastAsia="Courier New" w:hAnsi="Courier New"/>
          <w:sz w:val="20"/>
          <w:szCs w:val="20"/>
        </w:rPr>
        <w:t xml:space="preserve">.github/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Docs</w:t>
      </w:r>
      <w:r>
        <w:t xml:space="preserve"> only the pull request template.</w:t>
      </w:r>
    </w:p>
    <w:p>
      <w:pPr>
        <w:pStyle w:val="Heading1"/>
      </w:pPr>
      <w:r>
        <w:t xml:space="preserve">10. Installation</w:t>
      </w:r>
    </w:p>
    <w:p>
      <w:pPr>
        <w:pStyle w:val="Heading2"/>
      </w:pPr>
      <w:r>
        <w:t xml:space="preserve">10.1 Local Installation (Summary)</w:t>
      </w:r>
    </w:p>
    <w:p>
      <w:pPr>
        <w:spacing w:line="480"/>
        <w:ind w:firstLine="720"/>
      </w:pPr>
      <w:r>
        <w:t xml:space="preserve">See the </w:t>
      </w:r>
      <w:r>
        <w:t xml:space="preserve">Installation manual</w:t>
      </w:r>
      <w:r>
        <w:t xml:space="preserve">. Summary: </w:t>
      </w:r>
      <w:r>
        <w:rPr>
          <w:rFonts w:ascii="Courier New" w:cs="Courier New" w:eastAsia="Courier New" w:hAnsi="Courier New"/>
          <w:sz w:val="20"/>
          <w:szCs w:val="20"/>
        </w:rPr>
        <w:t xml:space="preserve">infra/docker-compose.yml</w:t>
      </w:r>
      <w:r>
        <w:t xml:space="preserve"> (outside the repos) starts </w:t>
      </w:r>
      <w:r>
        <w:rPr>
          <w:rFonts w:ascii="Courier New" w:cs="Courier New" w:eastAsia="Courier New" w:hAnsi="Courier New"/>
          <w:sz w:val="20"/>
          <w:szCs w:val="20"/>
        </w:rPr>
        <w:t xml:space="preserve">frontend</w:t>
      </w:r>
      <w:r>
        <w:t xml:space="preserve"> (nginx, </w:t>
      </w:r>
      <w:r>
        <w:rPr>
          <w:rFonts w:ascii="Courier New" w:cs="Courier New" w:eastAsia="Courier New" w:hAnsi="Courier New"/>
          <w:sz w:val="20"/>
          <w:szCs w:val="20"/>
        </w:rPr>
        <w:t xml:space="preserve">127.0.0.1:8080</w:t>
      </w:r>
      <w:r>
        <w:t xml:space="preserve">), </w:t>
      </w:r>
      <w:r>
        <w:rPr>
          <w:rFonts w:ascii="Courier New" w:cs="Courier New" w:eastAsia="Courier New" w:hAnsi="Courier New"/>
          <w:sz w:val="20"/>
          <w:szCs w:val="20"/>
        </w:rPr>
        <w:t xml:space="preserve">backend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127.0.0.1:3000</w:t>
      </w:r>
      <w:r>
        <w:t xml:space="preserve">) and </w:t>
      </w:r>
      <w:r>
        <w:rPr>
          <w:rFonts w:ascii="Courier New" w:cs="Courier New" w:eastAsia="Courier New" w:hAnsi="Courier New"/>
          <w:sz w:val="20"/>
          <w:szCs w:val="20"/>
        </w:rPr>
        <w:t xml:space="preserve">postgres:16-alpine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127.0.0.1:5433</w:t>
      </w:r>
      <w:r>
        <w:t xml:space="preserve">), with the migrations mounted as </w:t>
      </w:r>
      <w:r>
        <w:rPr>
          <w:rFonts w:ascii="Courier New" w:cs="Courier New" w:eastAsia="Courier New" w:hAnsi="Courier New"/>
          <w:sz w:val="20"/>
          <w:szCs w:val="20"/>
        </w:rPr>
        <w:t xml:space="preserve">initdb.d</w:t>
      </w:r>
      <w:r>
        <w:t xml:space="preserve">. No Redis or Mongo. Images built with </w:t>
      </w:r>
      <w:r>
        <w:rPr>
          <w:rFonts w:ascii="Courier New" w:cs="Courier New" w:eastAsia="Courier New" w:hAnsi="Courier New"/>
          <w:sz w:val="20"/>
          <w:szCs w:val="20"/>
        </w:rPr>
        <w:t xml:space="preserve">build-frontend.sh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build-backend.sh</w:t>
      </w:r>
      <w:r>
        <w:t xml:space="preserve">. The develop Dockerfile does not yet include the HEALTHCHECK that the compose file needs to start the web; see the warning in the Installation manual.</w:t>
      </w:r>
    </w:p>
    <w:p>
      <w:pPr>
        <w:pStyle w:val="Heading2"/>
      </w:pPr>
      <w:r>
        <w:t xml:space="preserve">10.2 Installation on a Web Server</w:t>
      </w:r>
    </w:p>
    <w:p>
      <w:pPr>
        <w:spacing w:line="480"/>
        <w:ind w:firstLine="720"/>
      </w:pPr>
      <w:r>
        <w:t xml:space="preserve">This version does not include a procedure for deploying to a web server; see the Installation manual, section 2.6.</w:t>
      </w:r>
    </w:p>
    <w:p>
      <w:pPr>
        <w:pStyle w:val="Heading1"/>
      </w:pPr>
      <w:r>
        <w:t xml:space="preserve">11. Running the Application</w:t>
      </w:r>
    </w:p>
    <w:p>
      <w:pPr>
        <w:spacing w:line="480"/>
        <w:ind w:firstLine="720"/>
      </w:pPr>
      <w:r>
        <w:t xml:space="preserve">See the Installation manual, sections 2.3 and 4.</w:t>
      </w:r>
    </w:p>
    <w:p>
      <w:pPr>
        <w:pStyle w:val="Heading1"/>
      </w:pPr>
      <w:r>
        <w:t xml:space="preserve">12. Actual vs Documented</w:t>
      </w:r>
    </w:p>
    <w:p>
      <w:pPr>
        <w:keepNext/>
        <w:spacing w:line="480"/>
      </w:pPr>
      <w:r>
        <w:rPr>
          <w:b/>
          <w:bCs/>
        </w:rPr>
        <w:t xml:space="preserve">Table 9</w:t>
      </w:r>
    </w:p>
    <w:p>
      <w:pPr>
        <w:keepNext/>
        <w:spacing w:line="480"/>
      </w:pPr>
      <w:r>
        <w:rPr>
          <w:i/>
          <w:iCs/>
        </w:rPr>
        <w:t xml:space="preserve">Actual vs Documented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65"/>
        <w:gridCol w:w="3638"/>
        <w:gridCol w:w="3657"/>
      </w:tblGrid>
      <w:tr>
        <w:trPr>
          <w:cantSplit/>
          <w:tblHeader/>
        </w:trPr>
        <w:tc>
          <w:tcPr>
            <w:tcW w:type="dxa" w:w="2065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363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Documented</w:t>
            </w:r>
          </w:p>
        </w:tc>
        <w:tc>
          <w:tcPr>
            <w:tcW w:type="dxa" w:w="365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Microservices (templates)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Modular monolith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MySQL (overview document in the trans-sl-docs repository) or PostgreSQL + MongoDB (ADR-003)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PostgreSQL only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Recognition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MediaPipe + OpenCV; TF.js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MediaPipe + KNN/DTW + custom TF.js model; no OpenCV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React Query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React Query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JWT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RS256 in Docs'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HS256,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  <w:r>
              <w:rPr>
                <w:sz w:val="22"/>
                <w:szCs w:val="22"/>
              </w:rPr>
              <w:t xml:space="preserve"> secret, 1 day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API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/refresh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/logout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/jwks</w:t>
            </w:r>
            <w:r>
              <w:rPr>
                <w:sz w:val="22"/>
                <w:szCs w:val="22"/>
              </w:rPr>
              <w:t xml:space="preserve"> in templates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They do not exist; routes in section 3.2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Migrations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node-pg-migrate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Manual SQL (000-006) + old Liquibase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Sign to text/speech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translations</w:t>
            </w:r>
            <w:r>
              <w:rPr>
                <w:sz w:val="22"/>
                <w:szCs w:val="22"/>
              </w:rPr>
              <w:t xml:space="preserve"> table also accepts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texto_sena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voz_sena</w:t>
            </w:r>
            <w:r>
              <w:rPr>
                <w:sz w:val="22"/>
                <w:szCs w:val="22"/>
              </w:rPr>
              <w:t xml:space="preserve">, unused in the MVP</w:t>
            </w:r>
          </w:p>
        </w:tc>
      </w:tr>
      <w:tr>
        <w:trPr>
          <w:cantSplit/>
        </w:trPr>
        <w:tc>
          <w:tcPr>
            <w:tcW w:type="dxa" w:w="206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Integration branch</w:t>
            </w:r>
          </w:p>
        </w:tc>
        <w:tc>
          <w:tcPr>
            <w:tcW w:type="dxa" w:w="36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</w:t>
            </w:r>
            <w:r>
              <w:rPr>
                <w:sz w:val="22"/>
                <w:szCs w:val="22"/>
              </w:rPr>
              <w:t xml:space="preserve"> (git-conventions document in the trans-sl-docs repository)</w:t>
            </w:r>
          </w:p>
        </w:tc>
        <w:tc>
          <w:tcPr>
            <w:tcW w:type="dxa" w:w="36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Backend and Frontend repos use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develop</w:t>
            </w:r>
          </w:p>
        </w:tc>
      </w:tr>
    </w:tbl>
    <w:p>
      <w:pPr>
        <w:pStyle w:val="Heading1"/>
        <w:spacing w:before="240" w:line="480"/>
      </w:pPr>
      <w:r>
        <w:t xml:space="preserve">13. Pending Items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Write </w:t>
      </w:r>
      <w:r>
        <w:rPr>
          <w:b/>
          <w:bCs/>
        </w:rPr>
        <w:t xml:space="preserve">ADR-004</w:t>
      </w:r>
      <w:r>
        <w:t xml:space="preserve"> (modular monolith) and update the ADR index.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Decide the internal style (layers or hexagonal).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Add role control to </w:t>
      </w:r>
      <w:r>
        <w:rPr>
          <w:rFonts w:ascii="Courier New" w:cs="Courier New" w:eastAsia="Courier New" w:hAnsi="Courier New"/>
          <w:sz w:val="20"/>
          <w:szCs w:val="20"/>
        </w:rPr>
        <w:t xml:space="preserve">POST/DELETE /api/sign-templates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Implement </w:t>
      </w:r>
      <w:r>
        <w:rPr>
          <w:b/>
          <w:bCs/>
        </w:rPr>
        <w:t xml:space="preserve">account deletion</w:t>
      </w:r>
      <w:r>
        <w:t xml:space="preserve"> (Ley 1581 de 2012) and connect the Profile button.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Connect password recovery and password change in the frontend.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Connect Statistics to the </w:t>
      </w:r>
      <w:r>
        <w:rPr>
          <w:rFonts w:ascii="Courier New" w:cs="Courier New" w:eastAsia="Courier New" w:hAnsi="Courier New"/>
          <w:sz w:val="20"/>
          <w:szCs w:val="20"/>
        </w:rPr>
        <w:t xml:space="preserve">/api/analytics/reports/sections</w:t>
      </w:r>
      <w:r>
        <w:t xml:space="preserve"> report and send usage events.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Role management screen.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Review the token after an account is blocked and add an attempt limiter to sign-in.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Unify migrations (manual SQL or Liquibase) and close ALIGN-01, ALIGN-02, DATA-11.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Commit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(with </w:t>
      </w:r>
      <w:r>
        <w:rPr>
          <w:rFonts w:ascii="Courier New" w:cs="Courier New" w:eastAsia="Courier New" w:hAnsi="Courier New"/>
          <w:sz w:val="20"/>
          <w:szCs w:val="20"/>
        </w:rPr>
        <w:t xml:space="preserve">HEALTHCHECK</w:t>
      </w:r>
      <w:r>
        <w:t xml:space="preserve">), </w:t>
      </w:r>
      <w:r>
        <w:rPr>
          <w:rFonts w:ascii="Courier New" w:cs="Courier New" w:eastAsia="Courier New" w:hAnsi="Courier New"/>
          <w:sz w:val="20"/>
          <w:szCs w:val="20"/>
        </w:rPr>
        <w:t xml:space="preserve">.dockerignore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 and the scripts, or document another route.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Generate a real OpenAPI document for the routes in section 3.2.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Update the CL diagrams to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(add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Unify the two AI input formats and measure the model's accuracy.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Review and rotate the development credentials of the Backend repository.</w:t>
      </w:r>
    </w:p>
    <w:p>
      <w:pPr>
        <w:pStyle w:val="Heading1"/>
        <w:pageBreakBefore/>
      </w:pPr>
      <w:r>
        <w:t xml:space="preserve">References</w:t>
      </w:r>
    </w:p>
    <w:p>
      <w:pPr>
        <w:spacing w:line="480"/>
        <w:ind w:left="720" w:hanging="720"/>
      </w:pPr>
      <w:r>
        <w:t xml:space="preserve">Cover, T., &amp; Hart, P. (1967). Nearest neighbor pattern classification. </w:t>
      </w:r>
      <w:r>
        <w:rPr>
          <w:i/>
          <w:iCs/>
        </w:rPr>
        <w:t xml:space="preserve">IEEE Transactions on Information Theory</w:t>
      </w:r>
      <w:r>
        <w:t xml:space="preserve">, </w:t>
      </w:r>
      <w:r>
        <w:rPr>
          <w:i/>
          <w:iCs/>
        </w:rPr>
        <w:t xml:space="preserve">13</w:t>
      </w:r>
      <w:r>
        <w:t xml:space="preserve">(1), 21–27. </w:t>
      </w:r>
      <w:r>
        <w:t xml:space="preserve">https://doi.org/10.1109/TIT.1967.1053964</w:t>
      </w:r>
    </w:p>
    <w:p>
      <w:pPr>
        <w:spacing w:line="480"/>
        <w:ind w:left="720" w:hanging="720"/>
      </w:pPr>
      <w:r>
        <w:t xml:space="preserve">Expo. (n.d.). </w:t>
      </w:r>
      <w:r>
        <w:rPr>
          <w:i/>
          <w:iCs/>
        </w:rPr>
        <w:t xml:space="preserve">Expo documentation</w:t>
      </w:r>
      <w:r>
        <w:t xml:space="preserve">. Retrieved October 7, 2026, from </w:t>
      </w:r>
      <w:r>
        <w:t xml:space="preserve">https://docs.expo.dev/</w:t>
      </w:r>
    </w:p>
    <w:p>
      <w:pPr>
        <w:spacing w:line="480"/>
        <w:ind w:left="720" w:hanging="720"/>
      </w:pPr>
      <w:r>
        <w:t xml:space="preserve">Google. (n.d.). </w:t>
      </w:r>
      <w:r>
        <w:rPr>
          <w:i/>
          <w:iCs/>
        </w:rPr>
        <w:t xml:space="preserve">TensorFlow.js</w:t>
      </w:r>
      <w:r>
        <w:t xml:space="preserve">. Retrieved October 7, 2026, from </w:t>
      </w:r>
      <w:r>
        <w:t xml:space="preserve">https://www.tensorflow.org/js</w:t>
      </w:r>
    </w:p>
    <w:p>
      <w:pPr>
        <w:spacing w:line="480"/>
        <w:ind w:left="720" w:hanging="720"/>
      </w:pPr>
      <w:r>
        <w:t xml:space="preserve">Jones, M., Bradley, J., &amp; Sakimura, N. (2015). </w:t>
      </w:r>
      <w:r>
        <w:rPr>
          <w:i/>
          <w:iCs/>
        </w:rPr>
        <w:t xml:space="preserve">JSON Web Token (JWT)</w:t>
      </w:r>
      <w:r>
        <w:t xml:space="preserve"> (RFC 7519). Internet Engineering Task Force. </w:t>
      </w:r>
      <w:r>
        <w:t xml:space="preserve">https://doi.org/10.17487/RFC7519</w:t>
      </w:r>
    </w:p>
    <w:p>
      <w:pPr>
        <w:spacing w:line="480"/>
        <w:ind w:left="720" w:hanging="720"/>
      </w:pPr>
      <w:r>
        <w:t xml:space="preserve">Ley 1581 de 2012 [Law 1581 of 2012]. </w:t>
      </w:r>
      <w:r>
        <w:rPr>
          <w:i/>
          <w:iCs/>
        </w:rPr>
        <w:t xml:space="preserve">Por la cual se dictan disposiciones generales para la protección de datos personales</w:t>
      </w:r>
      <w:r>
        <w:t xml:space="preserve"> [Issuing general provisions for the protection of personal data]. October 17, 2012. D.O. No. 48587.</w:t>
      </w:r>
    </w:p>
    <w:p>
      <w:pPr>
        <w:spacing w:line="480"/>
        <w:ind w:left="720" w:hanging="720"/>
      </w:pPr>
      <w:r>
        <w:t xml:space="preserve">Lugaresi, C., Tang, J., Nash, H., McClanahan, C., Uboweja, E., Hays, M., Zhang, F., Chang, C.-L., Yong, M. G., Lee, J., Chang, W.-T., Hua, W., Georg, M., &amp; Grundmann, M. (2019). </w:t>
      </w:r>
      <w:r>
        <w:rPr>
          <w:i/>
          <w:iCs/>
        </w:rPr>
        <w:t xml:space="preserve">MediaPipe: A framework for building perception pipelines</w:t>
      </w:r>
      <w:r>
        <w:t xml:space="preserve"> [Preprint]. arXiv. </w:t>
      </w:r>
      <w:r>
        <w:t xml:space="preserve">https://doi.org/10.48550/arXiv.1906.08172</w:t>
      </w:r>
    </w:p>
    <w:p>
      <w:pPr>
        <w:spacing w:line="480"/>
        <w:ind w:left="720" w:hanging="720"/>
      </w:pPr>
      <w:r>
        <w:t xml:space="preserve">Meta Platforms, Inc. (n.d.). </w:t>
      </w:r>
      <w:r>
        <w:rPr>
          <w:i/>
          <w:iCs/>
        </w:rPr>
        <w:t xml:space="preserve">React Native</w:t>
      </w:r>
      <w:r>
        <w:t xml:space="preserve">. Retrieved October 7, 2026, from </w:t>
      </w:r>
      <w:r>
        <w:t xml:space="preserve">https://reactnative.dev/docs/getting-started</w:t>
      </w:r>
    </w:p>
    <w:p>
      <w:pPr>
        <w:spacing w:line="480"/>
        <w:ind w:left="720" w:hanging="720"/>
      </w:pPr>
      <w:r>
        <w:t xml:space="preserve">Mora-Zarate, J. E., Garzón-Castro, C. L., &amp; Castellanos Rivillas, J. A. (2025). LSC-54: A landmark-based dataset for Colombian Sign Language. </w:t>
      </w:r>
      <w:r>
        <w:rPr>
          <w:i/>
          <w:iCs/>
        </w:rPr>
        <w:t xml:space="preserve">Data in Brief</w:t>
      </w:r>
      <w:r>
        <w:t xml:space="preserve">, </w:t>
      </w:r>
      <w:r>
        <w:rPr>
          <w:i/>
          <w:iCs/>
        </w:rPr>
        <w:t xml:space="preserve">63</w:t>
      </w:r>
      <w:r>
        <w:t xml:space="preserve">, Article 112145. </w:t>
      </w:r>
      <w:r>
        <w:t xml:space="preserve">https://doi.org/10.1016/j.dib.2025.112145</w:t>
      </w:r>
    </w:p>
    <w:p>
      <w:pPr>
        <w:spacing w:line="480"/>
        <w:ind w:left="720" w:hanging="720"/>
      </w:pPr>
      <w:r>
        <w:t xml:space="preserve">OpenJS Foundation. (n.d.-a). </w:t>
      </w:r>
      <w:r>
        <w:rPr>
          <w:i/>
          <w:iCs/>
        </w:rPr>
        <w:t xml:space="preserve">Express 5.x API reference</w:t>
      </w:r>
      <w:r>
        <w:t xml:space="preserve">. Retrieved October 7, 2026, from </w:t>
      </w:r>
      <w:r>
        <w:t xml:space="preserve">https://expressjs.com/en/5x/api.html</w:t>
      </w:r>
    </w:p>
    <w:p>
      <w:pPr>
        <w:spacing w:line="480"/>
        <w:ind w:left="720" w:hanging="720"/>
      </w:pPr>
      <w:r>
        <w:t xml:space="preserve">OpenJS Foundation. (n.d.-b). </w:t>
      </w:r>
      <w:r>
        <w:rPr>
          <w:i/>
          <w:iCs/>
        </w:rPr>
        <w:t xml:space="preserve">Node.js documentation</w:t>
      </w:r>
      <w:r>
        <w:t xml:space="preserve">. Retrieved October 7, 2026, from </w:t>
      </w:r>
      <w:r>
        <w:t xml:space="preserve">https://nodejs.org/docs/latest/api/</w:t>
      </w:r>
    </w:p>
    <w:p>
      <w:pPr>
        <w:spacing w:line="480"/>
        <w:ind w:left="720" w:hanging="720"/>
      </w:pPr>
      <w:r>
        <w:t xml:space="preserve">Provos, N., &amp; Mazières, D. (1999). A future-adaptable password scheme. In </w:t>
      </w:r>
      <w:r>
        <w:rPr>
          <w:i/>
          <w:iCs/>
        </w:rPr>
        <w:t xml:space="preserve">Proceedings of the 1999 USENIX Annual Technical Conference</w:t>
      </w:r>
      <w:r>
        <w:t xml:space="preserve">. USENIX Association.</w:t>
      </w:r>
    </w:p>
    <w:p>
      <w:pPr>
        <w:spacing w:line="480"/>
        <w:ind w:left="720" w:hanging="720"/>
      </w:pPr>
      <w:r>
        <w:t xml:space="preserve">Sakoe, H., &amp; Chiba, S. (1978). Dynamic programming algorithm optimization for spoken word recognition. </w:t>
      </w:r>
      <w:r>
        <w:rPr>
          <w:i/>
          <w:iCs/>
        </w:rPr>
        <w:t xml:space="preserve">IEEE Transactions on Acoustics, Speech, and Signal Processing</w:t>
      </w:r>
      <w:r>
        <w:t xml:space="preserve">, </w:t>
      </w:r>
      <w:r>
        <w:rPr>
          <w:i/>
          <w:iCs/>
        </w:rPr>
        <w:t xml:space="preserve">26</w:t>
      </w:r>
      <w:r>
        <w:t xml:space="preserve">(1), 43–49. </w:t>
      </w:r>
      <w:r>
        <w:t xml:space="preserve">https://doi.org/10.1109/TASSP.1978.1163055</w:t>
      </w:r>
    </w:p>
    <w:p>
      <w:pPr>
        <w:spacing w:line="480"/>
        <w:ind w:left="720" w:hanging="720"/>
      </w:pPr>
      <w:r>
        <w:t xml:space="preserve">The PostgreSQL Global Development Group. (n.d.). </w:t>
      </w:r>
      <w:r>
        <w:rPr>
          <w:i/>
          <w:iCs/>
        </w:rPr>
        <w:t xml:space="preserve">PostgreSQL 16 documentation</w:t>
      </w:r>
      <w:r>
        <w:t xml:space="preserve">. Retrieved October 7, 2026, from </w:t>
      </w:r>
      <w:r>
        <w:t xml:space="preserve">https://www.postgresql.org/docs/16/</w:t>
      </w:r>
    </w:p>
    <w:p>
      <w:pPr>
        <w:spacing w:line="480"/>
        <w:ind w:left="720" w:hanging="720"/>
      </w:pPr>
      <w:r>
        <w:t xml:space="preserve">Zhang, F., Bazarevsky, V., Vakunov, A., Tkachenka, A., Sung, G., Chang, C.-L., &amp; Grundmann, M. (2020). </w:t>
      </w:r>
      <w:r>
        <w:rPr>
          <w:i/>
          <w:iCs/>
        </w:rPr>
        <w:t xml:space="preserve">MediaPipe Hands: On-device real-time hand tracking</w:t>
      </w:r>
      <w:r>
        <w:t xml:space="preserve"> [Preprint]. arXiv. </w:t>
      </w:r>
      <w:r>
        <w:t xml:space="preserve">https://doi.org/10.48550/arXiv.2006.10214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  <w:lvl w:ilvl="2" w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440" w:hanging="360"/>
      </w:pPr>
    </w:lvl>
    <w:lvl w:ilvl="1" w:tentative="1">
      <w:start w:val="1"/>
      <w:numFmt w:val="bullet"/>
      <w:lvlText w:val="–"/>
      <w:lvlJc w:val="left"/>
      <w:pPr>
        <w:ind w:left="1800" w:hanging="360"/>
      </w:pPr>
    </w:lvl>
    <w:lvl w:ilvl="2" w:tentative="1">
      <w:start w:val="1"/>
      <w:numFmt w:val="bullet"/>
      <w:lvlText w:val="·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US"/>
      </w:rPr>
    </w:rPrDefault>
    <w:pPrDefault>
      <w:pPr>
        <w:spacing w:after="0" w:before="0" w:line="48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0" w:line="480"/>
      <w:ind w:left="0"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cb3958deb7c1a3d2549dac1afbf0723ddd8e210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Traduce Señas: Technical Manual</dc:title>
  <dc:creator>Juan Mauricio Suaza Solórzano, Luis Alejandro Duarte Aldana y Juan Camilo Fierro Esquivel</dc:creator>
  <dc:description>Traduce Señas: Technical Manual. Version 1.4.</dc:description>
  <cp:lastModifiedBy>Juan Mauricio Suaza Solórzano, Luis Alejandro Duarte Aldana y Juan Camilo Fierro Esquivel</cp:lastModifiedBy>
  <cp:revision>1</cp:revision>
  <dcterms:created xsi:type="dcterms:W3CDTF">2026-10-07T19:30:30.373Z</dcterms:created>
  <dcterms:modified xsi:type="dcterms:W3CDTF">2026-10-07T19:30:30.373Z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