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480"/>
        <w:ind w:firstLine="0"/>
        <w:jc w:val="center"/>
      </w:pPr>
      <w:r>
        <w:rPr>
          <w:b/>
          <w:bCs/>
        </w:rPr>
        <w:t xml:space="preserve">Traduce Señas:</w:t>
      </w:r>
    </w:p>
    <w:p>
      <w:pPr>
        <w:spacing w:after="0" w:before="0" w:line="480"/>
        <w:ind w:firstLine="0"/>
        <w:jc w:val="center"/>
      </w:pPr>
      <w:r>
        <w:rPr>
          <w:b/>
          <w:bCs/>
        </w:rPr>
        <w:t xml:space="preserve">Manual técnico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Juan Mauricio Suaza Solórzano</w:t>
      </w:r>
    </w:p>
    <w:p>
      <w:pPr>
        <w:spacing w:after="0" w:before="0" w:line="480"/>
        <w:ind w:firstLine="0"/>
        <w:jc w:val="center"/>
      </w:pPr>
      <w:r>
        <w:t xml:space="preserve">Luis Alejandro Duarte Aldana</w:t>
      </w:r>
    </w:p>
    <w:p>
      <w:pPr>
        <w:spacing w:after="0" w:before="0" w:line="480"/>
        <w:ind w:firstLine="0"/>
        <w:jc w:val="center"/>
      </w:pPr>
      <w:r>
        <w:t xml:space="preserve">Juan Camilo Fierro Esquivel</w:t>
      </w:r>
    </w:p>
    <w:p>
      <w:pPr>
        <w:spacing w:after="0" w:before="0" w:line="480"/>
        <w:ind w:firstLine="0"/>
        <w:jc w:val="center"/>
      </w:pPr>
      <w:r>
        <w:t xml:space="preserve"/>
      </w:r>
    </w:p>
    <w:p>
      <w:pPr>
        <w:spacing w:after="0" w:before="0" w:line="480"/>
        <w:ind w:firstLine="0"/>
        <w:jc w:val="center"/>
      </w:pPr>
      <w:r>
        <w:t xml:space="preserve">Instructor: Karol Daniela Correa</w:t>
      </w:r>
    </w:p>
    <w:p>
      <w:pPr>
        <w:spacing w:after="0" w:before="0" w:line="480"/>
        <w:ind w:firstLine="0"/>
        <w:jc w:val="center"/>
      </w:pPr>
      <w:r>
        <w:t xml:space="preserve">7 de octubre de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Introducción</w:t>
      </w:r>
    </w:p>
    <w:p>
      <w:pPr>
        <w:spacing w:line="480"/>
        <w:ind w:firstLine="720"/>
      </w:pPr>
      <w:r>
        <w:t xml:space="preserve">Este manual describe la versión del sistema de la rama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del 3 de octubre de 2026 (Backend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, Frontend </w:t>
      </w:r>
      <w:r>
        <w:rPr>
          <w:rFonts w:ascii="Courier New" w:cs="Courier New" w:eastAsia="Courier New" w:hAnsi="Courier New"/>
          <w:sz w:val="20"/>
          <w:szCs w:val="20"/>
        </w:rPr>
        <w:t xml:space="preserve">c1456cf</w:t>
      </w:r>
      <w:r>
        <w:t xml:space="preserve">). Para instalar el sistema, ver el </w:t>
      </w:r>
      <w:r>
        <w:t xml:space="preserve">Manual de instalación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Backend@develop:&lt;ruta&gt;</w:t>
      </w:r>
      <w:r>
        <w:t xml:space="preserve"> = archivo de la rama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del repositorio Backend. Se lee sin cambiar de rama con </w:t>
      </w:r>
      <w:r>
        <w:rPr>
          <w:rFonts w:ascii="Courier New" w:cs="Courier New" w:eastAsia="Courier New" w:hAnsi="Courier New"/>
          <w:sz w:val="20"/>
          <w:szCs w:val="20"/>
        </w:rPr>
        <w:t xml:space="preserve">git show origin/develop:&lt;ruta&gt;</w:t>
      </w:r>
      <w:r>
        <w:t xml:space="preserve"> (dentro del repositorio Backend).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Frontend@develop:&lt;ruta&gt;</w:t>
      </w:r>
      <w:r>
        <w:t xml:space="preserve"> = archivo de la rama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del repositorio Frontend (frontendTS).</w:t>
      </w:r>
    </w:p>
    <w:p>
      <w:pPr>
        <w:pStyle w:val="Heading1"/>
      </w:pPr>
      <w:r>
        <w:t xml:space="preserve">Objetivo</w:t>
      </w:r>
    </w:p>
    <w:p>
      <w:pPr>
        <w:spacing w:line="480"/>
        <w:ind w:firstLine="720"/>
      </w:pPr>
      <w:r>
        <w:t xml:space="preserve">Este manual explica a quien llega al proyecto cómo está construido Traduce Señas: herramientas, arquitectura, rutas de la API, base de datos, seguridad, reconocimiento de señas, frontend, diagramas y pruebas.</w:t>
      </w:r>
    </w:p>
    <w:p>
      <w:pPr>
        <w:pStyle w:val="Heading1"/>
      </w:pPr>
      <w:r>
        <w:t xml:space="preserve">1. Requisitos del sistema</w:t>
      </w:r>
    </w:p>
    <w:p>
      <w:pPr>
        <w:spacing w:line="480"/>
        <w:ind w:firstLine="720"/>
      </w:pPr>
      <w:r>
        <w:t xml:space="preserve">Ver Manual de instalación, sección 2.1.</w:t>
      </w:r>
    </w:p>
    <w:p>
      <w:pPr>
        <w:pStyle w:val="Heading1"/>
      </w:pPr>
      <w:r>
        <w:t xml:space="preserve">2. Herramientas empleadas en el desarrollo</w:t>
      </w:r>
    </w:p>
    <w:p>
      <w:pPr>
        <w:keepNext/>
        <w:spacing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Herramientas empleadas en el desarrollo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47"/>
        <w:gridCol w:w="5386"/>
        <w:gridCol w:w="2627"/>
      </w:tblGrid>
      <w:tr>
        <w:trPr>
          <w:cantSplit/>
          <w:tblHeader/>
        </w:trPr>
        <w:tc>
          <w:tcPr>
            <w:tcW w:type="dxa" w:w="134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5386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262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3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53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Node.js (OpenJS Foundation, s.f.-b), Express 5 (OpenJS Foundation, s.f.-a), TypeScript, PostgreSQL (The PostgreSQL Global Development Group, s.f.) 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pg</w:t>
            </w:r>
            <w:r>
              <w:rPr>
                <w:sz w:val="22"/>
                <w:szCs w:val="22"/>
              </w:rPr>
              <w:t xml:space="preserve">, validación 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zod</w:t>
            </w:r>
            <w:r>
              <w:rPr>
                <w:sz w:val="22"/>
                <w:szCs w:val="22"/>
              </w:rPr>
              <w:t xml:space="preserve">, correo 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nodemailer</w:t>
            </w:r>
            <w:r>
              <w:rPr>
                <w:sz w:val="22"/>
                <w:szCs w:val="22"/>
              </w:rPr>
              <w:t xml:space="preserve">, pruebas 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vitest</w:t>
            </w:r>
          </w:p>
        </w:tc>
        <w:tc>
          <w:tcPr>
            <w:tcW w:type="dxa" w:w="26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Backend@develop:package.json</w:t>
            </w:r>
          </w:p>
        </w:tc>
      </w:tr>
      <w:tr>
        <w:trPr>
          <w:cantSplit/>
        </w:trPr>
        <w:tc>
          <w:tcPr>
            <w:tcW w:type="dxa" w:w="134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53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Expo 57 (Expo, s.f.), React Native 0.86 (Meta Platforms, Inc., s.f.), react-native-web, React Navigation 6, axios, Context API. </w:t>
            </w:r>
            <w:r>
              <w:rPr>
                <w:b/>
                <w:bCs/>
                <w:sz w:val="22"/>
                <w:szCs w:val="22"/>
              </w:rPr>
              <w:t xml:space="preserve">Sin React Query.</w:t>
            </w:r>
          </w:p>
        </w:tc>
        <w:tc>
          <w:tcPr>
            <w:tcW w:type="dxa" w:w="262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package.json</w:t>
            </w:r>
            <w:r>
              <w:rPr>
                <w:sz w:val="22"/>
                <w:szCs w:val="22"/>
              </w:rPr>
              <w:t xml:space="preserve"> del repositorio Frontend</w:t>
            </w:r>
          </w:p>
        </w:tc>
      </w:tr>
    </w:tbl>
    <w:p>
      <w:pPr>
        <w:pStyle w:val="Heading1"/>
        <w:spacing w:before="240" w:line="480"/>
      </w:pPr>
      <w:r>
        <w:t xml:space="preserve">3. Arquitectura</w:t>
      </w:r>
    </w:p>
    <w:p>
      <w:pPr>
        <w:keepNext/>
        <w:spacing w:line="480"/>
      </w:pPr>
      <w:r>
        <w:rPr>
          <w:b/>
          <w:bCs/>
        </w:rPr>
        <w:t xml:space="preserve">Tabla 2</w:t>
      </w:r>
    </w:p>
    <w:p>
      <w:pPr>
        <w:keepNext/>
        <w:spacing w:line="480"/>
      </w:pPr>
      <w:r>
        <w:rPr>
          <w:i/>
          <w:iCs/>
        </w:rPr>
        <w:t xml:space="preserve">Arquitectura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79"/>
        <w:gridCol w:w="4997"/>
        <w:gridCol w:w="2984"/>
      </w:tblGrid>
      <w:tr>
        <w:trPr>
          <w:cantSplit/>
          <w:tblHeader/>
        </w:trPr>
        <w:tc>
          <w:tcPr>
            <w:tcW w:type="dxa" w:w="137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499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298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3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Estilo general</w:t>
            </w:r>
          </w:p>
        </w:tc>
        <w:tc>
          <w:tcPr>
            <w:tcW w:type="dxa" w:w="499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Monolito modular</w:t>
            </w:r>
            <w:r>
              <w:rPr>
                <w:sz w:val="22"/>
                <w:szCs w:val="22"/>
              </w:rPr>
              <w:t xml:space="preserve">: un solo proceso Express que monta un router por dominio.</w:t>
            </w:r>
          </w:p>
        </w:tc>
        <w:tc>
          <w:tcPr>
            <w:tcW w:type="dxa" w:w="2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Backend@develop:cmd/server/main.ts</w:t>
            </w:r>
          </w:p>
        </w:tc>
      </w:tr>
      <w:tr>
        <w:trPr>
          <w:cantSplit/>
        </w:trPr>
        <w:tc>
          <w:tcPr>
            <w:tcW w:type="dxa" w:w="13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Estilo interno</w:t>
            </w:r>
          </w:p>
        </w:tc>
        <w:tc>
          <w:tcPr>
            <w:tcW w:type="dxa" w:w="499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Sin decidir formalmente.</w:t>
            </w:r>
            <w:r>
              <w:rPr>
                <w:sz w:val="22"/>
                <w:szCs w:val="22"/>
              </w:rPr>
              <w:t xml:space="preserve"> Cada dominio usa carpetas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 / application / ports / adapters</w:t>
            </w:r>
            <w:r>
              <w:rPr>
                <w:sz w:val="22"/>
                <w:szCs w:val="22"/>
              </w:rPr>
              <w:t xml:space="preserve"> (se parece al hexagonal); los documentos antiguos dicen "N capas".</w:t>
            </w:r>
          </w:p>
        </w:tc>
        <w:tc>
          <w:tcPr>
            <w:tcW w:type="dxa" w:w="2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Estructura de carpetas de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Backend@develop:src/domains/</w:t>
            </w:r>
          </w:p>
        </w:tc>
      </w:tr>
      <w:tr>
        <w:trPr>
          <w:cantSplit/>
        </w:trPr>
        <w:tc>
          <w:tcPr>
            <w:tcW w:type="dxa" w:w="13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Datos</w:t>
            </w:r>
          </w:p>
        </w:tc>
        <w:tc>
          <w:tcPr>
            <w:tcW w:type="dxa" w:w="499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PostgreSQL. </w:t>
            </w:r>
            <w:r>
              <w:rPr>
                <w:b/>
                <w:bCs/>
                <w:sz w:val="22"/>
                <w:szCs w:val="22"/>
              </w:rPr>
              <w:t xml:space="preserve">Sin MongoDB</w:t>
            </w:r>
            <w:r>
              <w:rPr>
                <w:sz w:val="22"/>
                <w:szCs w:val="22"/>
              </w:rPr>
              <w:t xml:space="preserve">: no hay driver, ni servicio en el compose,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src/shared/database/montsdb/</w:t>
            </w:r>
            <w:r>
              <w:rPr>
                <w:sz w:val="22"/>
                <w:szCs w:val="22"/>
              </w:rPr>
              <w:t xml:space="preserve"> solo tiene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.gitkeep</w:t>
            </w:r>
            <w:r>
              <w:rPr>
                <w:sz w:val="22"/>
                <w:szCs w:val="22"/>
              </w:rPr>
              <w:t xml:space="preserve">. ADR-003 (repositorio trans-sl-docs) habla de PostgreSQL + MongoDB: el código no lo sigue.</w:t>
            </w:r>
          </w:p>
        </w:tc>
        <w:tc>
          <w:tcPr>
            <w:tcW w:type="dxa" w:w="2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Backend@develop:package.json</w:t>
            </w:r>
          </w:p>
        </w:tc>
      </w:tr>
    </w:tbl>
    <w:p>
      <w:pPr>
        <w:keepNext/>
        <w:keepLines/>
        <w:spacing w:after="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Navegador --8080--&gt; nginx (frontend) --/api/--&gt; Backend Express :3000 --pg--&gt; PostgreSQL :5432</w:t>
      </w:r>
    </w:p>
    <w:p>
      <w:pPr>
        <w:keepNext w:val="false"/>
        <w:keepLines/>
        <w:spacing w:after="240" w:before="0" w:line="240"/>
        <w:ind w:left="720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     \--&gt; CDN: MediaPipe y modelos de Google (el reconocimiento corre en el navegador)</w:t>
      </w:r>
    </w:p>
    <w:p>
      <w:pPr>
        <w:spacing w:before="240" w:line="480"/>
        <w:ind w:firstLine="720"/>
      </w:pPr>
      <w:r>
        <w:t xml:space="preserve">Los microservicios, el gateway y los contratos de </w:t>
      </w:r>
      <w:r>
        <w:rPr>
          <w:rFonts w:ascii="Courier New" w:cs="Courier New" w:eastAsia="Courier New" w:hAnsi="Courier New"/>
          <w:sz w:val="20"/>
          <w:szCs w:val="20"/>
        </w:rPr>
        <w:t xml:space="preserve">Docs/07-api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Docs/09-microservices</w:t>
      </w:r>
      <w:r>
        <w:t xml:space="preserve"> son </w:t>
      </w:r>
      <w:r>
        <w:rPr>
          <w:b/>
          <w:bCs/>
        </w:rPr>
        <w:t xml:space="preserve">plantilla</w:t>
      </w:r>
      <w:r>
        <w:t xml:space="preserve">, no describen este sistema.</w:t>
      </w:r>
    </w:p>
    <w:p>
      <w:pPr>
        <w:pStyle w:val="Heading2"/>
      </w:pPr>
      <w:r>
        <w:t xml:space="preserve">3.1 Dominios del backend (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)</w:t>
      </w:r>
    </w:p>
    <w:p>
      <w:pPr>
        <w:spacing w:line="480"/>
        <w:ind w:firstLine="720"/>
      </w:pPr>
      <w:r>
        <w:rPr>
          <w:rFonts w:ascii="Courier New" w:cs="Courier New" w:eastAsia="Courier New" w:hAnsi="Courier New"/>
          <w:sz w:val="20"/>
          <w:szCs w:val="20"/>
        </w:rPr>
        <w:t xml:space="preserve">cmd/server/main.ts</w:t>
      </w:r>
      <w:r>
        <w:t xml:space="preserve"> monta seis routers (en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). Cada dominio tiene su </w:t>
      </w:r>
      <w:r>
        <w:rPr>
          <w:rFonts w:ascii="Courier New" w:cs="Courier New" w:eastAsia="Courier New" w:hAnsi="Courier New"/>
          <w:sz w:val="20"/>
          <w:szCs w:val="20"/>
        </w:rPr>
        <w:t xml:space="preserve">*.module.ts</w:t>
      </w:r>
      <w:r>
        <w:t xml:space="preserve">, que conecta puertos con adaptadores.</w:t>
      </w:r>
    </w:p>
    <w:p>
      <w:pPr>
        <w:keepNext/>
        <w:spacing w:line="480"/>
      </w:pPr>
      <w:r>
        <w:rPr>
          <w:b/>
          <w:bCs/>
        </w:rPr>
        <w:t xml:space="preserve">Tabla 3</w:t>
      </w:r>
    </w:p>
    <w:p>
      <w:pPr>
        <w:keepNext/>
        <w:spacing w:line="480"/>
      </w:pPr>
      <w:r>
        <w:rPr>
          <w:i/>
          <w:iCs/>
        </w:rPr>
        <w:t xml:space="preserve">Dominios del backend (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develop</w:t>
      </w:r>
      <w:r>
        <w:rPr>
          <w:i/>
          <w:iCs/>
        </w:rPr>
        <w:t xml:space="preserve">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9"/>
        <w:gridCol w:w="2463"/>
        <w:gridCol w:w="4848"/>
      </w:tblGrid>
      <w:tr>
        <w:trPr>
          <w:cantSplit/>
          <w:tblHeader/>
        </w:trPr>
        <w:tc>
          <w:tcPr>
            <w:tcW w:type="dxa" w:w="204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Dominio</w:t>
            </w:r>
          </w:p>
        </w:tc>
        <w:tc>
          <w:tcPr>
            <w:tcW w:type="dxa" w:w="246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Ruta base</w:t>
            </w:r>
          </w:p>
        </w:tc>
        <w:tc>
          <w:tcPr>
            <w:tcW w:type="dxa" w:w="484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04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</w:t>
            </w:r>
          </w:p>
        </w:tc>
        <w:tc>
          <w:tcPr>
            <w:tcW w:type="dxa" w:w="24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</w:t>
            </w:r>
          </w:p>
        </w:tc>
        <w:tc>
          <w:tcPr>
            <w:tcW w:type="dxa" w:w="48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Registro, login, verificación de correo, recuperación de contraseña</w:t>
            </w:r>
          </w:p>
        </w:tc>
      </w:tr>
      <w:tr>
        <w:trPr>
          <w:cantSplit/>
        </w:trPr>
        <w:tc>
          <w:tcPr>
            <w:tcW w:type="dxa" w:w="204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</w:p>
        </w:tc>
        <w:tc>
          <w:tcPr>
            <w:tcW w:type="dxa" w:w="24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8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Datos de mi usuario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/me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4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24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</w:t>
            </w:r>
          </w:p>
        </w:tc>
        <w:tc>
          <w:tcPr>
            <w:tcW w:type="dxa" w:w="48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Guardar, listar y borrar traducciones</w:t>
            </w:r>
          </w:p>
        </w:tc>
      </w:tr>
      <w:tr>
        <w:trPr>
          <w:cantSplit/>
        </w:trPr>
        <w:tc>
          <w:tcPr>
            <w:tcW w:type="dxa" w:w="204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</w:t>
            </w:r>
          </w:p>
        </w:tc>
        <w:tc>
          <w:tcPr>
            <w:tcW w:type="dxa" w:w="24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</w:t>
            </w:r>
          </w:p>
        </w:tc>
        <w:tc>
          <w:tcPr>
            <w:tcW w:type="dxa" w:w="48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Plantillas de señas con movimiento (más scripts de entrenamiento fuera del servidor)</w:t>
            </w:r>
          </w:p>
        </w:tc>
      </w:tr>
      <w:tr>
        <w:trPr>
          <w:cantSplit/>
        </w:trPr>
        <w:tc>
          <w:tcPr>
            <w:tcW w:type="dxa" w:w="204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iam</w:t>
            </w:r>
          </w:p>
        </w:tc>
        <w:tc>
          <w:tcPr>
            <w:tcW w:type="dxa" w:w="24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</w:t>
            </w:r>
          </w:p>
        </w:tc>
        <w:tc>
          <w:tcPr>
            <w:tcW w:type="dxa" w:w="48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Roles y permisos (RBAC)</w:t>
            </w:r>
          </w:p>
        </w:tc>
      </w:tr>
      <w:tr>
        <w:trPr>
          <w:cantSplit/>
        </w:trPr>
        <w:tc>
          <w:tcPr>
            <w:tcW w:type="dxa" w:w="204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48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Eventos de uso e informe agregado por sección</w:t>
            </w:r>
          </w:p>
        </w:tc>
      </w:tr>
    </w:tbl>
    <w:p>
      <w:pPr>
        <w:spacing w:before="240" w:line="480"/>
        <w:ind w:firstLine="720"/>
      </w:pPr>
      <w:r>
        <w:t xml:space="preserve">Cómo se conectan sin conocerse: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recibe un adaptador </w:t>
      </w:r>
      <w:r>
        <w:rPr>
          <w:rFonts w:ascii="Courier New" w:cs="Courier New" w:eastAsia="Courier New" w:hAnsi="Courier New"/>
          <w:sz w:val="20"/>
          <w:szCs w:val="20"/>
        </w:rPr>
        <w:t xml:space="preserve">roleAssigner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un </w:t>
      </w:r>
      <w:r>
        <w:rPr>
          <w:rFonts w:ascii="Courier New" w:cs="Courier New" w:eastAsia="Courier New" w:hAnsi="Courier New"/>
          <w:sz w:val="20"/>
          <w:szCs w:val="20"/>
        </w:rPr>
        <w:t xml:space="preserve">permissionChecker</w:t>
      </w:r>
      <w:r>
        <w:t xml:space="preserve">, ambos construidos con el servicio de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main.ts</w:t>
      </w:r>
      <w:r>
        <w:t xml:space="preserve">. Así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no importan código de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.</w:t>
      </w:r>
    </w:p>
    <w:p>
      <w:pPr>
        <w:pStyle w:val="Heading2"/>
      </w:pPr>
      <w:r>
        <w:t xml:space="preserve">3.2 Rutas de la API (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)</w:t>
      </w:r>
    </w:p>
    <w:p>
      <w:pPr>
        <w:spacing w:line="480"/>
        <w:ind w:firstLine="720"/>
      </w:pPr>
      <w:r>
        <w:t xml:space="preserve">"Token" = cabecera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  <w:r>
        <w:t xml:space="preserve">. Fuente: los </w:t>
      </w:r>
      <w:r>
        <w:rPr>
          <w:rFonts w:ascii="Courier New" w:cs="Courier New" w:eastAsia="Courier New" w:hAnsi="Courier New"/>
          <w:sz w:val="20"/>
          <w:szCs w:val="20"/>
        </w:rPr>
        <w:t xml:space="preserve">routes.ts</w:t>
      </w:r>
      <w:r>
        <w:t xml:space="preserve"> de cada dominio.</w:t>
      </w:r>
    </w:p>
    <w:p>
      <w:pPr>
        <w:keepNext/>
        <w:spacing w:line="480"/>
      </w:pPr>
      <w:r>
        <w:rPr>
          <w:b/>
          <w:bCs/>
        </w:rPr>
        <w:t xml:space="preserve">Tabla 4</w:t>
      </w:r>
    </w:p>
    <w:p>
      <w:pPr>
        <w:keepNext/>
        <w:spacing w:line="480"/>
      </w:pPr>
      <w:r>
        <w:rPr>
          <w:i/>
          <w:iCs/>
        </w:rPr>
        <w:t xml:space="preserve">Rutas de la API (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develop</w:t>
      </w:r>
      <w:r>
        <w:rPr>
          <w:i/>
          <w:iCs/>
        </w:rPr>
        <w:t xml:space="preserve">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48"/>
        <w:gridCol w:w="3135"/>
        <w:gridCol w:w="1963"/>
        <w:gridCol w:w="3114"/>
      </w:tblGrid>
      <w:tr>
        <w:trPr>
          <w:cantSplit/>
          <w:tblHeader/>
        </w:trPr>
        <w:tc>
          <w:tcPr>
            <w:tcW w:type="dxa" w:w="114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Método</w:t>
            </w:r>
          </w:p>
        </w:tc>
        <w:tc>
          <w:tcPr>
            <w:tcW w:type="dxa" w:w="3135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Ruta</w:t>
            </w:r>
          </w:p>
        </w:tc>
        <w:tc>
          <w:tcPr>
            <w:tcW w:type="dxa" w:w="196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311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Permiso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 (exige código </w:t>
            </w:r>
            <w:r>
              <w:rPr>
                <w:b/>
                <w:bCs/>
                <w:sz w:val="22"/>
                <w:szCs w:val="22"/>
              </w:rPr>
              <w:t xml:space="preserve">y</w:t>
            </w:r>
            <w:r>
              <w:rPr>
                <w:sz w:val="22"/>
                <w:szCs w:val="22"/>
              </w:rPr>
              <w:t xml:space="preserve"> contraseña)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/api/auth/resend-verification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/api/auth/verify-code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solo token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/api/translations/history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solo token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</w:t>
            </w:r>
            <w:r>
              <w:rPr>
                <w:sz w:val="22"/>
                <w:szCs w:val="22"/>
              </w:rPr>
              <w:t xml:space="preserve"> máx. 200, por defecto 50;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offset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/api/translations/:id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solo token (borrado lógico)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 (público a propósito)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ninguno</w:t>
            </w:r>
            <w:r>
              <w:rPr>
                <w:sz w:val="22"/>
                <w:szCs w:val="22"/>
              </w:rPr>
              <w:t xml:space="preserve"> (solo token)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/api/sign-templates/:id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ninguno</w:t>
            </w:r>
            <w:r>
              <w:rPr>
                <w:sz w:val="22"/>
                <w:szCs w:val="22"/>
              </w:rPr>
              <w:t xml:space="preserve"> (solo token)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/api/iam/me/access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 (devuelve mis roles y permisos)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/api/iam/roles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/api/iam/users/:userId/roles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/api/iam/users/:userId/roles/:roleName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/api/iam/roles/:roleId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users.manage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/api/analytics/events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4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/api/analytics/reports/sections</w:t>
            </w:r>
          </w:p>
        </w:tc>
        <w:tc>
          <w:tcPr>
            <w:tcW w:type="dxa" w:w="196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311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stats.read</w:t>
            </w:r>
          </w:p>
        </w:tc>
      </w:tr>
    </w:tbl>
    <w:p>
      <w:pPr>
        <w:spacing w:before="240" w:line="480"/>
        <w:ind w:firstLine="720"/>
      </w:pPr>
      <w:r>
        <w:t xml:space="preserve">Notas: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list_roles.ts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assign_role.ts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revoke_role.ts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delete_role.ts</w:t>
      </w:r>
      <w:r>
        <w:t xml:space="preserve"> comprueban </w:t>
      </w:r>
      <w:r>
        <w:rPr>
          <w:rFonts w:ascii="Courier New" w:cs="Courier New" w:eastAsia="Courier New" w:hAnsi="Courier New"/>
          <w:sz w:val="20"/>
          <w:szCs w:val="20"/>
        </w:rPr>
        <w:t xml:space="preserve">users.manage</w:t>
      </w:r>
      <w:r>
        <w:t xml:space="preserve"> dentro del caso de uso.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Existe un caso de uso de login con Google (</w:t>
      </w:r>
      <w:r>
        <w:rPr>
          <w:rFonts w:ascii="Courier New" w:cs="Courier New" w:eastAsia="Courier New" w:hAnsi="Courier New"/>
          <w:sz w:val="20"/>
          <w:szCs w:val="20"/>
        </w:rPr>
        <w:t xml:space="preserve">google_login.ts</w:t>
      </w:r>
      <w:r>
        <w:t xml:space="preserve">) registrado en </w:t>
      </w:r>
      <w:r>
        <w:rPr>
          <w:rFonts w:ascii="Courier New" w:cs="Courier New" w:eastAsia="Courier New" w:hAnsi="Courier New"/>
          <w:sz w:val="20"/>
          <w:szCs w:val="20"/>
        </w:rPr>
        <w:t xml:space="preserve">auth.module.ts</w:t>
      </w:r>
      <w:r>
        <w:t xml:space="preserve">, pero </w:t>
      </w:r>
      <w:r>
        <w:rPr>
          <w:b/>
          <w:bCs/>
        </w:rPr>
        <w:t xml:space="preserve">ninguna ruta lo expone</w:t>
      </w:r>
      <w: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passport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passport-google-oauth20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express-session</w:t>
      </w:r>
      <w:r>
        <w:t xml:space="preserve"> están instalados y sin uso.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No hay documento OpenAPI de estas rutas; </w:t>
      </w:r>
      <w:r>
        <w:rPr>
          <w:rFonts w:ascii="Courier New" w:cs="Courier New" w:eastAsia="Courier New" w:hAnsi="Courier New"/>
          <w:sz w:val="20"/>
          <w:szCs w:val="20"/>
        </w:rPr>
        <w:t xml:space="preserve">Docs/07-api</w:t>
      </w:r>
      <w:r>
        <w:t xml:space="preserve"> solo tiene plantillas.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Errores de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success: false, code, message }</w:t>
      </w:r>
      <w:r>
        <w:t xml:space="preserve"> con 400, 403, 404 o 409. El resto cae al </w:t>
      </w:r>
      <w:r>
        <w:rPr>
          <w:rFonts w:ascii="Courier New" w:cs="Courier New" w:eastAsia="Courier New" w:hAnsi="Courier New"/>
          <w:sz w:val="20"/>
          <w:szCs w:val="20"/>
        </w:rPr>
        <w:t xml:space="preserve">errorHandler</w:t>
      </w:r>
      <w:r>
        <w:t xml:space="preserve"> (500 genérico).</w:t>
      </w:r>
    </w:p>
    <w:p>
      <w:pPr>
        <w:pStyle w:val="Heading1"/>
      </w:pPr>
      <w:r>
        <w:t xml:space="preserve">4. Base de datos</w:t>
      </w:r>
    </w:p>
    <w:p>
      <w:pPr>
        <w:pStyle w:val="Heading2"/>
      </w:pPr>
      <w:r>
        <w:t xml:space="preserve">4.1 Modelo relacional</w:t>
      </w:r>
    </w:p>
    <w:p>
      <w:pPr>
        <w:spacing w:line="480"/>
        <w:ind w:firstLine="720"/>
      </w:pPr>
      <w:r>
        <w:t xml:space="preserve">El modelo de datos de referencia está en el repositorio de documentación (</w:t>
      </w:r>
      <w:r>
        <w:rPr>
          <w:rFonts w:ascii="Courier New" w:cs="Courier New" w:eastAsia="Courier New" w:hAnsi="Courier New"/>
          <w:sz w:val="20"/>
          <w:szCs w:val="20"/>
        </w:rPr>
        <w:t xml:space="preserve">Docs/06-data/traduce_senas.dbml</w:t>
      </w:r>
      <w:r>
        <w:t xml:space="preserve">, 29 tablas organizadas por dominio). Las tablas que existen hoy en la base de datos son las que crean las migraciones de la sección 4.2; las diferencias entre ambos se listan en la sección 4.4.</w:t>
      </w:r>
    </w:p>
    <w:p>
      <w:pPr>
        <w:pStyle w:val="Heading2"/>
      </w:pPr>
      <w:r>
        <w:t xml:space="preserve">4.2 Migraciones SQL manuales (vigentes)</w:t>
      </w:r>
    </w:p>
    <w:p>
      <w:pPr>
        <w:spacing w:line="480"/>
        <w:ind w:firstLine="720"/>
      </w:pPr>
      <w:r>
        <w:t xml:space="preserve">La tabla describe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.</w:t>
      </w:r>
    </w:p>
    <w:p>
      <w:pPr>
        <w:spacing w:line="480"/>
        <w:ind w:firstLine="720"/>
      </w:pPr>
      <w:r>
        <w:rPr>
          <w:rFonts w:ascii="Courier New" w:cs="Courier New" w:eastAsia="Courier New" w:hAnsi="Courier New"/>
          <w:sz w:val="20"/>
          <w:szCs w:val="20"/>
        </w:rPr>
        <w:t xml:space="preserve">Backend@develop:migrations/</w:t>
      </w:r>
      <w:r>
        <w:t xml:space="preserve">, ejecutadas por Postgres en orden alfabético al crear el volumen (el compose las monta como </w:t>
      </w:r>
      <w:r>
        <w:rPr>
          <w:rFonts w:ascii="Courier New" w:cs="Courier New" w:eastAsia="Courier New" w:hAnsi="Courier New"/>
          <w:sz w:val="20"/>
          <w:szCs w:val="20"/>
        </w:rPr>
        <w:t xml:space="preserve">initdb.d</w:t>
      </w:r>
      <w:r>
        <w:t xml:space="preserve">).</w:t>
      </w:r>
    </w:p>
    <w:p>
      <w:pPr>
        <w:keepNext/>
        <w:spacing w:line="480"/>
      </w:pPr>
      <w:r>
        <w:rPr>
          <w:b/>
          <w:bCs/>
        </w:rPr>
        <w:t xml:space="preserve">Tabla 5</w:t>
      </w:r>
    </w:p>
    <w:p>
      <w:pPr>
        <w:keepNext/>
        <w:spacing w:line="480"/>
      </w:pPr>
      <w:r>
        <w:rPr>
          <w:i/>
          <w:iCs/>
        </w:rPr>
        <w:t xml:space="preserve">Migraciones SQL manuales (vigentes)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83"/>
        <w:gridCol w:w="5577"/>
      </w:tblGrid>
      <w:tr>
        <w:trPr>
          <w:cantSplit/>
          <w:tblHeader/>
        </w:trPr>
        <w:tc>
          <w:tcPr>
            <w:tcW w:type="dxa" w:w="378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Archivo</w:t>
            </w:r>
          </w:p>
        </w:tc>
        <w:tc>
          <w:tcPr>
            <w:tcW w:type="dxa" w:w="557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Qué crea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000_users.sql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  <w:r>
              <w:rPr>
                <w:sz w:val="22"/>
                <w:szCs w:val="22"/>
              </w:rPr>
              <w:t xml:space="preserve"> (y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password_reset_token</w:t>
            </w:r>
            <w:r>
              <w:rPr>
                <w:sz w:val="22"/>
                <w:szCs w:val="22"/>
              </w:rPr>
              <w:t xml:space="preserve">, que la 005 deja sin uso)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001_translations.sql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translations</w:t>
            </w:r>
            <w:r>
              <w:rPr>
                <w:sz w:val="22"/>
                <w:szCs w:val="22"/>
              </w:rPr>
              <w:t xml:space="preserve"> (admite tipos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texto_sena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sena_texto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voz_sena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002_sign_templates.sql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sign_templates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features</w:t>
            </w:r>
            <w:r>
              <w:rPr>
                <w:sz w:val="22"/>
                <w:szCs w:val="22"/>
              </w:rPr>
              <w:t xml:space="preserve"> en JSONB)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003_iam_roles_permissions.sql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permissions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user_roles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role_permissions</w:t>
            </w:r>
            <w:r>
              <w:rPr>
                <w:sz w:val="22"/>
                <w:szCs w:val="22"/>
              </w:rPr>
              <w:t xml:space="preserve"> + roles USER/LINGUIST/ADMIN y 13 permisos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004_analytics_usage_events.sql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usage_events</w:t>
            </w:r>
            <w:r>
              <w:rPr>
                <w:sz w:val="22"/>
                <w:szCs w:val="22"/>
              </w:rPr>
              <w:t xml:space="preserve"> (solo inserción)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005_auth_email_normalization_user_tokens.sql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Correo normalizado (CHECK)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user_tokens</w:t>
            </w:r>
            <w:r>
              <w:rPr>
                <w:sz w:val="22"/>
                <w:szCs w:val="22"/>
              </w:rPr>
              <w:t xml:space="preserve"> (códigos con hash bcrypt e intentos)</w:t>
            </w:r>
          </w:p>
        </w:tc>
      </w:tr>
      <w:tr>
        <w:trPr>
          <w:cantSplit/>
        </w:trPr>
        <w:tc>
          <w:tcPr>
            <w:tcW w:type="dxa" w:w="37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006_users_status_email_verification.sql</w:t>
            </w:r>
          </w:p>
        </w:tc>
        <w:tc>
          <w:tcPr>
            <w:tcW w:type="dxa" w:w="55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users.status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INACTIVE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BLOCKED</w:t>
            </w:r>
            <w:r>
              <w:rPr>
                <w:sz w:val="22"/>
                <w:szCs w:val="22"/>
              </w:rPr>
              <w:t xml:space="preserve">)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email_verified_at</w:t>
            </w:r>
          </w:p>
        </w:tc>
      </w:tr>
    </w:tbl>
    <w:p>
      <w:pPr>
        <w:pStyle w:val="Heading2"/>
        <w:spacing w:before="240" w:line="480"/>
      </w:pPr>
      <w:r>
        <w:t xml:space="preserve">4.3 Liquibase viejo en paralelo</w:t>
      </w:r>
    </w:p>
    <w:p>
      <w:pPr>
        <w:spacing w:line="480"/>
        <w:ind w:firstLine="720"/>
      </w:pPr>
      <w:r>
        <w:rPr>
          <w:rFonts w:ascii="Courier New" w:cs="Courier New" w:eastAsia="Courier New" w:hAnsi="Courier New"/>
          <w:sz w:val="20"/>
          <w:szCs w:val="20"/>
        </w:rPr>
        <w:t xml:space="preserve">Backend@develop:DB/traduce_senas/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master.xml</w:t>
      </w:r>
      <w:r>
        <w:t xml:space="preserve"> y changelogs 001 a 011) es una </w:t>
      </w:r>
      <w:r>
        <w:rPr>
          <w:b/>
          <w:bCs/>
        </w:rPr>
        <w:t xml:space="preserve">versión vieja</w:t>
      </w:r>
      <w:r>
        <w:t xml:space="preserve">. El compose dice explícitamente "NO usar el master.xml viejo". Las tablas vigentes son las que crean las migraciones de la sección 4.2.</w:t>
      </w:r>
    </w:p>
    <w:p>
      <w:pPr>
        <w:pStyle w:val="Heading2"/>
      </w:pPr>
      <w:r>
        <w:t xml:space="preserve">4.4 Desajustes con la documentación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DBML de referencia (</w:t>
      </w:r>
      <w:r>
        <w:rPr>
          <w:rFonts w:ascii="Courier New" w:cs="Courier New" w:eastAsia="Courier New" w:hAnsi="Courier New"/>
          <w:sz w:val="20"/>
          <w:szCs w:val="20"/>
        </w:rPr>
        <w:t xml:space="preserve">Docs/06-data/traduce_senas.dbml</w:t>
      </w:r>
      <w:r>
        <w:t xml:space="preserve">) usa UUID, </w:t>
      </w:r>
      <w:r>
        <w:rPr>
          <w:rFonts w:ascii="Courier New" w:cs="Courier New" w:eastAsia="Courier New" w:hAnsi="Courier New"/>
          <w:sz w:val="20"/>
          <w:szCs w:val="20"/>
        </w:rPr>
        <w:t xml:space="preserve">full_name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password_hash</w:t>
      </w:r>
      <w:r>
        <w:t xml:space="preserve">; las migraciones usan </w:t>
      </w:r>
      <w:r>
        <w:rPr>
          <w:rFonts w:ascii="Courier New" w:cs="Courier New" w:eastAsia="Courier New" w:hAnsi="Courier New"/>
          <w:sz w:val="20"/>
          <w:szCs w:val="20"/>
        </w:rPr>
        <w:t xml:space="preserve">SERIAL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name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Los bloqueos ALIGN-01, ALIGN-02 y DATA-11 de </w:t>
      </w:r>
      <w:r>
        <w:rPr>
          <w:rFonts w:ascii="Courier New" w:cs="Courier New" w:eastAsia="Courier New" w:hAnsi="Courier New"/>
          <w:sz w:val="20"/>
          <w:szCs w:val="20"/>
        </w:rPr>
        <w:t xml:space="preserve">Docs/06-data/open-items.md</w:t>
      </w:r>
      <w:r>
        <w:t xml:space="preserve"> siguen abiertos.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La estrategia de migración documentada (</w:t>
      </w:r>
      <w:r>
        <w:rPr>
          <w:rFonts w:ascii="Courier New" w:cs="Courier New" w:eastAsia="Courier New" w:hAnsi="Courier New"/>
          <w:sz w:val="20"/>
          <w:szCs w:val="20"/>
        </w:rPr>
        <w:t xml:space="preserve">node-pg-migrate</w:t>
      </w:r>
      <w:r>
        <w:t xml:space="preserve">) no coincide con lo real (SQL manual).</w:t>
      </w:r>
    </w:p>
    <w:p>
      <w:pPr>
        <w:pStyle w:val="Heading1"/>
      </w:pPr>
      <w:r>
        <w:t xml:space="preserve">5. Seguridad</w:t>
      </w:r>
    </w:p>
    <w:p>
      <w:pPr>
        <w:pStyle w:val="Heading2"/>
      </w:pPr>
      <w:r>
        <w:t xml:space="preserve">5.1 Autenticación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JWT</w:t>
      </w:r>
      <w:r>
        <w:t xml:space="preserve"> (Jones et al., 2015) firmado con </w:t>
      </w:r>
      <w:r>
        <w:rPr>
          <w:rFonts w:ascii="Courier New" w:cs="Courier New" w:eastAsia="Courier New" w:hAnsi="Courier New"/>
          <w:sz w:val="20"/>
          <w:szCs w:val="20"/>
        </w:rPr>
        <w:t xml:space="preserve">jsonwebtoken</w:t>
      </w:r>
      <w:r>
        <w:t xml:space="preserve"> y el secreto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. El payload lleva </w:t>
      </w: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email</w:t>
      </w:r>
      <w:r>
        <w:t xml:space="preserve">; </w:t>
      </w:r>
      <w:r>
        <w:rPr>
          <w:b/>
          <w:bCs/>
        </w:rPr>
        <w:t xml:space="preserve">expira en 1 día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src/shared/security/jwt.ts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config.ts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código no fija el algoritmo: </w:t>
      </w:r>
      <w:r>
        <w:rPr>
          <w:rFonts w:ascii="Courier New" w:cs="Courier New" w:eastAsia="Courier New" w:hAnsi="Courier New"/>
          <w:sz w:val="20"/>
          <w:szCs w:val="20"/>
        </w:rPr>
        <w:t xml:space="preserve">jsonwebtoken</w:t>
      </w:r>
      <w:r>
        <w:t xml:space="preserve"> usa </w:t>
      </w:r>
      <w:r>
        <w:rPr>
          <w:b/>
          <w:bCs/>
        </w:rPr>
        <w:t xml:space="preserve">HS256</w:t>
      </w:r>
      <w:r>
        <w:t xml:space="preserve"> por defecto. (Los documentos que dicen RS256 son plantilla.)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auth_middleware.ts</w:t>
      </w:r>
      <w:r>
        <w:t xml:space="preserve"> exige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...</w:t>
      </w:r>
      <w:r>
        <w:t xml:space="preserve">, verifica la firma y deja </w:t>
      </w:r>
      <w:r>
        <w:rPr>
          <w:rFonts w:ascii="Courier New" w:cs="Courier New" w:eastAsia="Courier New" w:hAnsi="Courier New"/>
          <w:sz w:val="20"/>
          <w:szCs w:val="20"/>
        </w:rPr>
        <w:t xml:space="preserve">req.user = { userId, email }</w:t>
      </w:r>
      <w:r>
        <w:t xml:space="preserve">. </w:t>
      </w:r>
      <w:r>
        <w:rPr>
          <w:b/>
          <w:bCs/>
        </w:rPr>
        <w:t xml:space="preserve">No consulta el estado de la cuenta</w:t>
      </w:r>
      <w:r>
        <w:t xml:space="preserve">: una cuenta bloqueada conserva un token válido hasta que expire.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Contraseñas con </w:t>
      </w:r>
      <w:r>
        <w:rPr>
          <w:b/>
          <w:bCs/>
        </w:rPr>
        <w:t xml:space="preserve">bcrypt</w:t>
      </w:r>
      <w:r>
        <w:t xml:space="preserve"> (Provos y Mazières, 1999). El login hace siempre una comparación bcrypt (contra un hash falso si no hay cuenta) para no filtrar por tiempo, y solo revela el estado (</w:t>
      </w:r>
      <w:r>
        <w:rPr>
          <w:rFonts w:ascii="Courier New" w:cs="Courier New" w:eastAsia="Courier New" w:hAnsi="Courier New"/>
          <w:sz w:val="20"/>
          <w:szCs w:val="20"/>
        </w:rPr>
        <w:t xml:space="preserve">INACTIVE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BLOCKED</w:t>
      </w:r>
      <w:r>
        <w:t xml:space="preserve">) después de acreditar la contraseña.</w:t>
      </w:r>
    </w:p>
    <w:p>
      <w:pPr>
        <w:pStyle w:val="Heading2"/>
      </w:pPr>
      <w:r>
        <w:t xml:space="preserve">5.2 Verificación de correo y recuperación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Cuenta nueva = </w:t>
      </w:r>
      <w:r>
        <w:rPr>
          <w:rFonts w:ascii="Courier New" w:cs="Courier New" w:eastAsia="Courier New" w:hAnsi="Courier New"/>
          <w:sz w:val="20"/>
          <w:szCs w:val="20"/>
        </w:rPr>
        <w:t xml:space="preserve">INACTIVE</w:t>
      </w:r>
      <w:r>
        <w:t xml:space="preserve">. Se envía un </w:t>
      </w:r>
      <w:r>
        <w:rPr>
          <w:b/>
          <w:bCs/>
        </w:rPr>
        <w:t xml:space="preserve">código de 6 dígitos</w:t>
      </w:r>
      <w:r>
        <w:t xml:space="preserve"> generado con </w:t>
      </w:r>
      <w:r>
        <w:rPr>
          <w:rFonts w:ascii="Courier New" w:cs="Courier New" w:eastAsia="Courier New" w:hAnsi="Courier New"/>
          <w:sz w:val="20"/>
          <w:szCs w:val="20"/>
        </w:rPr>
        <w:t xml:space="preserve">crypto.randomInt</w:t>
      </w:r>
      <w:r>
        <w:t xml:space="preserve">, guardado con hash bcrypt, </w:t>
      </w:r>
      <w:r>
        <w:rPr>
          <w:b/>
          <w:bCs/>
        </w:rPr>
        <w:t xml:space="preserve">caduca a los 15 minutos</w:t>
      </w:r>
      <w:r>
        <w:t xml:space="preserve">, </w:t>
      </w:r>
      <w:r>
        <w:rPr>
          <w:b/>
          <w:bCs/>
        </w:rPr>
        <w:t xml:space="preserve">5 intentos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MAX_ATTEMPTS</w:t>
      </w:r>
      <w:r>
        <w:t xml:space="preserve">), reenvío con espera de </w:t>
      </w:r>
      <w:r>
        <w:rPr>
          <w:b/>
          <w:bCs/>
        </w:rPr>
        <w:t xml:space="preserve">60 s</w:t>
      </w:r>
      <w:r>
        <w:t xml:space="preserve"> y </w:t>
      </w:r>
      <w:r>
        <w:rPr>
          <w:b/>
          <w:bCs/>
        </w:rPr>
        <w:t xml:space="preserve">5 por hora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auth/domain/service.ts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verify-email</w:t>
      </w:r>
      <w:r>
        <w:t xml:space="preserve"> exige código </w:t>
      </w:r>
      <w:r>
        <w:rPr>
          <w:b/>
          <w:bCs/>
        </w:rPr>
        <w:t xml:space="preserve">y</w:t>
      </w:r>
      <w:r>
        <w:t xml:space="preserve"> contraseña (evita que otra persona active una cuenta ajena), y devuelve siempre el mismo error genérico.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Courier New" w:cs="Courier New" w:eastAsia="Courier New" w:hAnsi="Courier New"/>
          <w:sz w:val="20"/>
          <w:szCs w:val="20"/>
        </w:rPr>
        <w:t xml:space="preserve">forgot-password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resend-verification</w:t>
      </w:r>
      <w:r>
        <w:t xml:space="preserve"> responden igual exista o no la cuenta; el trabajo corre en segundo plano.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Si el correo no se puede enviar, el registro igualmente crea la cuenta (</w:t>
      </w:r>
      <w:r>
        <w:rPr>
          <w:rFonts w:ascii="Courier New" w:cs="Courier New" w:eastAsia="Courier New" w:hAnsi="Courier New"/>
          <w:sz w:val="20"/>
          <w:szCs w:val="20"/>
        </w:rPr>
        <w:t xml:space="preserve">verification_email_sent: false</w:t>
      </w:r>
      <w:r>
        <w:t xml:space="preserve">).</w:t>
      </w:r>
    </w:p>
    <w:p>
      <w:pPr>
        <w:pStyle w:val="Heading2"/>
      </w:pPr>
      <w:r>
        <w:t xml:space="preserve">5.3 Autorización (RBAC)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Los permisos se leen de la base </w:t>
      </w:r>
      <w:r>
        <w:rPr>
          <w:b/>
          <w:bCs/>
        </w:rPr>
        <w:t xml:space="preserve">en cada petición protegida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listPermissionsForUser</w:t>
      </w:r>
      <w:r>
        <w:t xml:space="preserve">), así que quitar un rol surte efecto de inmediato (salvo que el cliente ya haya cargado las pestañas).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Invariantes en </w:t>
      </w:r>
      <w:r>
        <w:rPr>
          <w:rFonts w:ascii="Courier New" w:cs="Courier New" w:eastAsia="Courier New" w:hAnsi="Courier New"/>
          <w:sz w:val="20"/>
          <w:szCs w:val="20"/>
        </w:rPr>
        <w:t xml:space="preserve">iam/domain/service.ts</w:t>
      </w:r>
      <w:r>
        <w:t xml:space="preserve">: no se revoca al último ADMIN, nadie se queda sin roles, los roles base están protegidos y un rol en uso no se borra.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primer ADMIN se asigna </w:t>
      </w:r>
      <w:r>
        <w:rPr>
          <w:b/>
          <w:bCs/>
        </w:rPr>
        <w:t xml:space="preserve">a mano con SQL</w:t>
      </w:r>
      <w:r>
        <w:t xml:space="preserve"> (no hay endpoint). Ver Manual del administrador, sección 3.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Registro: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llama al </w:t>
      </w:r>
      <w:r>
        <w:rPr>
          <w:rFonts w:ascii="Courier New" w:cs="Courier New" w:eastAsia="Courier New" w:hAnsi="Courier New"/>
          <w:sz w:val="20"/>
          <w:szCs w:val="20"/>
        </w:rPr>
        <w:t xml:space="preserve">roleAssigner</w:t>
      </w:r>
      <w:r>
        <w:t xml:space="preserve"> para dar USER; si falla, </w:t>
      </w:r>
      <w:r>
        <w:rPr>
          <w:b/>
          <w:bCs/>
        </w:rPr>
        <w:t xml:space="preserve">borra la cuenta</w:t>
      </w:r>
      <w:r>
        <w:t xml:space="preserve"> recién creada y responde error.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Analítica: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solo guarda y devuelve </w:t>
      </w:r>
      <w:r>
        <w:rPr>
          <w:b/>
          <w:bCs/>
        </w:rPr>
        <w:t xml:space="preserve">agregados</w:t>
      </w:r>
      <w:r>
        <w:t xml:space="preserve"> por sección; el informe exige </w:t>
      </w:r>
      <w:r>
        <w:rPr>
          <w:rFonts w:ascii="Courier New" w:cs="Courier New" w:eastAsia="Courier New" w:hAnsi="Courier New"/>
          <w:sz w:val="20"/>
          <w:szCs w:val="20"/>
        </w:rPr>
        <w:t xml:space="preserve">stats.read</w:t>
      </w:r>
      <w:r>
        <w:t xml:space="preserve">.</w:t>
      </w:r>
    </w:p>
    <w:p>
      <w:pPr>
        <w:pStyle w:val="Heading2"/>
      </w:pPr>
      <w:r>
        <w:t xml:space="preserve">5.4 Riesgos abiertos</w:t>
      </w:r>
    </w:p>
    <w:p>
      <w:pPr>
        <w:keepNext/>
        <w:spacing w:line="480"/>
      </w:pPr>
      <w:r>
        <w:rPr>
          <w:b/>
          <w:bCs/>
        </w:rPr>
        <w:t xml:space="preserve">Tabla 6</w:t>
      </w:r>
    </w:p>
    <w:p>
      <w:pPr>
        <w:keepNext/>
        <w:spacing w:line="480"/>
      </w:pPr>
      <w:r>
        <w:rPr>
          <w:i/>
          <w:iCs/>
        </w:rPr>
        <w:t xml:space="preserve">Riesgos abiertos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4"/>
        <w:gridCol w:w="1589"/>
        <w:gridCol w:w="4617"/>
      </w:tblGrid>
      <w:tr>
        <w:trPr>
          <w:cantSplit/>
          <w:tblHeader/>
        </w:trPr>
        <w:tc>
          <w:tcPr>
            <w:tcW w:type="dxa" w:w="3154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Riesgo</w:t>
            </w:r>
          </w:p>
        </w:tc>
        <w:tc>
          <w:tcPr>
            <w:tcW w:type="dxa" w:w="1589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Gravedad</w:t>
            </w:r>
          </w:p>
        </w:tc>
        <w:tc>
          <w:tcPr>
            <w:tcW w:type="dxa" w:w="461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POST/DELETE /api/sign-templates</w:t>
            </w:r>
            <w:r>
              <w:rPr>
                <w:sz w:val="22"/>
                <w:szCs w:val="22"/>
              </w:rPr>
              <w:t xml:space="preserve"> sin control de rol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ia/adapters/inbound/http/routes.ts</w:t>
            </w:r>
            <w:r>
              <w:rPr>
                <w:sz w:val="22"/>
                <w:szCs w:val="22"/>
              </w:rPr>
              <w:t xml:space="preserve"> l. 15-16 solo usa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authMiddleware</w:t>
            </w:r>
            <w:r>
              <w:rPr>
                <w:sz w:val="22"/>
                <w:szCs w:val="22"/>
              </w:rPr>
              <w:t xml:space="preserve">. Cualquier cuenta autenticada puede subir o borrar plantillas (afecta el reconocimiento de todos). Debería exigir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models.manage</w:t>
            </w:r>
            <w:r>
              <w:rPr>
                <w:sz w:val="22"/>
                <w:szCs w:val="22"/>
              </w:rPr>
              <w:t xml:space="preserve"> 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lexicon.write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vivo tras bloquear la cuenta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middleware no revisa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users.status</w:t>
            </w:r>
            <w:r>
              <w:rPr>
                <w:sz w:val="22"/>
                <w:szCs w:val="22"/>
              </w:rPr>
              <w:t xml:space="preserve">. Hasta 1 día.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Sin límite de intentos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/auth/login</w:t>
            </w:r>
            <w:r>
              <w:rPr>
                <w:sz w:val="22"/>
                <w:szCs w:val="22"/>
              </w:rPr>
              <w:t xml:space="preserve"> ni limitador global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hay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 limit</w:t>
            </w:r>
            <w:r>
              <w:rPr>
                <w:sz w:val="22"/>
                <w:szCs w:val="22"/>
              </w:rPr>
              <w:t xml:space="preserve">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main.ts</w:t>
            </w:r>
            <w:r>
              <w:rPr>
                <w:sz w:val="22"/>
                <w:szCs w:val="22"/>
              </w:rPr>
              <w:t xml:space="preserve"> ni dependencia para ello (búsqueda en el código).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CORS abierto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Baja/Media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app.use(cors())</w:t>
            </w:r>
            <w:r>
              <w:rPr>
                <w:sz w:val="22"/>
                <w:szCs w:val="22"/>
              </w:rPr>
              <w:t xml:space="preserve"> sin lista de orígenes.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Borrado de cuenta inexistente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Alta (legal)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Ley 1581 de 2012: el botón del frontend solo muestra un aviso. No hay ruta de borrado/anonimización.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ausente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hay validación al arrancar: si falta, la firma de los tokens falla en ejecución.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Contraseña robusta solo en el cliente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 backend no valida fortaleza: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auth_request.ts</w:t>
            </w:r>
            <w:r>
              <w:rPr>
                <w:sz w:val="22"/>
                <w:szCs w:val="22"/>
              </w:rPr>
              <w:t xml:space="preserve"> solo limita la contraseña a 72 bytes (límite de bcrypt). La regla de 8 caracteres con mayúsculas, número y símbolo está solo en el frontend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useRegisterForm.ts</w:t>
            </w:r>
            <w:r>
              <w:rPr>
                <w:sz w:val="22"/>
                <w:szCs w:val="22"/>
              </w:rPr>
              <w:t xml:space="preserve"> l. 44-49,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RegisterScreen.tsx</w:t>
            </w:r>
            <w:r>
              <w:rPr>
                <w:sz w:val="22"/>
                <w:szCs w:val="22"/>
              </w:rPr>
              <w:t xml:space="preserve"> l. 35-38); la API acepta contraseñas débiles.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Token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AsyncStorage</w:t>
            </w:r>
            <w:r>
              <w:rPr>
                <w:sz w:val="22"/>
                <w:szCs w:val="22"/>
              </w:rPr>
              <w:t xml:space="preserve"> (web)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En web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AsyncStorage</w:t>
            </w:r>
            <w:r>
              <w:rPr>
                <w:sz w:val="22"/>
                <w:szCs w:val="22"/>
              </w:rPr>
              <w:t xml:space="preserve"> usa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localStorage</w:t>
            </w:r>
            <w:r>
              <w:rPr>
                <w:sz w:val="22"/>
                <w:szCs w:val="22"/>
              </w:rPr>
              <w:t xml:space="preserve">: cualquier script inyectado (XSS) puede leer el token. En móvil se usa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expo-secure-store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Credenciales de desarrollo en el compose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Valores fijos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docker-compose.yml</w:t>
            </w:r>
            <w:r>
              <w:rPr>
                <w:sz w:val="22"/>
                <w:szCs w:val="22"/>
              </w:rPr>
              <w:t xml:space="preserve"> (archivo fuera de los repos). No usar en servidores.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Contraseña real en claro en documentación de otra rama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Detectada en el repo Backend (no se copia aquí). Debe </w:t>
            </w:r>
            <w:r>
              <w:rPr>
                <w:b/>
                <w:bCs/>
                <w:sz w:val="22"/>
                <w:szCs w:val="22"/>
              </w:rPr>
              <w:t xml:space="preserve">rotarse y limpiarse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Textos de privacidad del frontend con afirmaciones no verificadas</w:t>
            </w:r>
          </w:p>
        </w:tc>
        <w:tc>
          <w:tcPr>
            <w:tcW w:type="dxa" w:w="158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</w:t>
            </w:r>
          </w:p>
        </w:tc>
        <w:tc>
          <w:tcPr>
            <w:tcW w:type="dxa" w:w="461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i18n/locales/*.ts</w:t>
            </w:r>
            <w:r>
              <w:rPr>
                <w:sz w:val="22"/>
                <w:szCs w:val="22"/>
              </w:rPr>
              <w:t xml:space="preserve"> afirma HTTPS/WebSockets cifrados; no hay evidencia en el código. No se reproducen.</w:t>
            </w:r>
          </w:p>
        </w:tc>
      </w:tr>
    </w:tbl>
    <w:p>
      <w:pPr>
        <w:spacing w:before="240" w:line="480"/>
        <w:ind w:firstLine="720"/>
      </w:pPr>
      <w:r>
        <w:t xml:space="preserve">Mejoras que </w:t>
      </w:r>
      <w:r>
        <w:rPr>
          <w:b/>
          <w:bCs/>
        </w:rPr>
        <w:t xml:space="preserve">ya no son riesgos</w:t>
      </w:r>
      <w:r>
        <w:t xml:space="preserve"> respecto a versiones anteriores: los códigos ya no usan </w:t>
      </w:r>
      <w:r>
        <w:rPr>
          <w:rFonts w:ascii="Courier New" w:cs="Courier New" w:eastAsia="Courier New" w:hAnsi="Courier New"/>
          <w:sz w:val="20"/>
          <w:szCs w:val="20"/>
        </w:rPr>
        <w:t xml:space="preserve">Math.random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randomInt</w:t>
      </w:r>
      <w:r>
        <w:t xml:space="preserve">) y sí hay límite de intentos (en verificación y recuperación).</w:t>
      </w:r>
    </w:p>
    <w:p>
      <w:pPr>
        <w:pStyle w:val="Heading1"/>
      </w:pPr>
      <w:r>
        <w:t xml:space="preserve">6. Reconocimiento de señas (IA)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El reconocimiento corre en el navegador.</w:t>
      </w:r>
      <w:r>
        <w:t xml:space="preserve"> El backend solo guarda y reparte plantillas (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Backend@develop:src/domains/ia/README.md</w:t>
      </w:r>
      <w:r>
        <w:t xml:space="preserve">: "no infiere").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Base: </w:t>
      </w:r>
      <w:r>
        <w:rPr>
          <w:b/>
          <w:bCs/>
        </w:rPr>
        <w:t xml:space="preserve">MediaPipe Tasks Vision 0.10.14</w:t>
      </w:r>
      <w:r>
        <w:t xml:space="preserve"> (HandLandmarker y PoseLandmarker; Lugaresi et al., 2019; Zhang et al., 2020), cargado por CDN. 21 puntos por mano, normalizados.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Dos modos en </w:t>
      </w:r>
      <w:r>
        <w:rPr>
          <w:rFonts w:ascii="Courier New" w:cs="Courier New" w:eastAsia="Courier New" w:hAnsi="Courier New"/>
          <w:sz w:val="20"/>
          <w:szCs w:val="20"/>
        </w:rPr>
        <w:t xml:space="preserve">TranslationScreen</w:t>
      </w:r>
      <w:r>
        <w:t xml:space="preserve">: </w:t>
      </w:r>
      <w:r>
        <w:rPr>
          <w:b/>
          <w:bCs/>
        </w:rPr>
        <w:t xml:space="preserve">Palabras</w:t>
      </w:r>
      <w:r>
        <w:t xml:space="preserve"> (por defecto, solo web) y </w:t>
      </w:r>
      <w:r>
        <w:rPr>
          <w:b/>
          <w:bCs/>
        </w:rPr>
        <w:t xml:space="preserve">Abecedario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0" w:before="0" w:line="480"/>
      </w:pPr>
      <w:r>
        <w:rPr>
          <w:b/>
          <w:bCs/>
        </w:rPr>
        <w:t xml:space="preserve">Palabras:</w:t>
      </w:r>
      <w:r>
        <w:t xml:space="preserve"> si hay modelo propio (</w:t>
      </w:r>
      <w:r>
        <w:rPr>
          <w:rFonts w:ascii="Courier New" w:cs="Courier New" w:eastAsia="Courier New" w:hAnsi="Courier New"/>
          <w:sz w:val="20"/>
          <w:szCs w:val="20"/>
        </w:rPr>
        <w:t xml:space="preserve">public/models/lsc/</w:t>
      </w:r>
      <w:r>
        <w:t xml:space="preserve">, TF.js, entrada 30 × 128, </w:t>
      </w:r>
      <w:r>
        <w:rPr>
          <w:rFonts w:ascii="Courier New" w:cs="Courier New" w:eastAsia="Courier New" w:hAnsi="Courier New"/>
          <w:sz w:val="20"/>
          <w:szCs w:val="20"/>
        </w:rPr>
        <w:t xml:space="preserve">glosas.json</w:t>
      </w:r>
      <w:r>
        <w:t xml:space="preserve"> con 54 palabras), lo usa (</w:t>
      </w:r>
      <w:r>
        <w:rPr>
          <w:rFonts w:ascii="Courier New" w:cs="Courier New" w:eastAsia="Courier New" w:hAnsi="Courier New"/>
          <w:sz w:val="20"/>
          <w:szCs w:val="20"/>
        </w:rPr>
        <w:t xml:space="preserve">modelWordEngine.web.ts</w:t>
      </w:r>
      <w:r>
        <w:t xml:space="preserve">); si no, cae al </w:t>
      </w:r>
      <w:r>
        <w:rPr>
          <w:rFonts w:ascii="Courier New" w:cs="Courier New" w:eastAsia="Courier New" w:hAnsi="Courier New"/>
          <w:sz w:val="20"/>
          <w:szCs w:val="20"/>
        </w:rPr>
        <w:t xml:space="preserve">GestureRecognizer</w:t>
      </w:r>
      <w:r>
        <w:t xml:space="preserve"> genérico de 7 gestos.</w:t>
      </w:r>
    </w:p>
    <w:p>
      <w:pPr>
        <w:pStyle w:val="ListParagraph"/>
        <w:numPr>
          <w:ilvl w:val="1"/>
          <w:numId w:val="2"/>
        </w:numPr>
        <w:spacing w:after="0" w:before="0" w:line="480"/>
      </w:pPr>
      <w:r>
        <w:rPr>
          <w:b/>
          <w:bCs/>
        </w:rPr>
        <w:t xml:space="preserve">Abecedario:</w:t>
      </w:r>
      <w:r>
        <w:t xml:space="preserve"> geometría + </w:t>
      </w:r>
      <w:r>
        <w:rPr>
          <w:b/>
          <w:bCs/>
        </w:rPr>
        <w:t xml:space="preserve">KNN</w:t>
      </w:r>
      <w:r>
        <w:t xml:space="preserve"> (Cover y Hart, 1967) + </w:t>
      </w:r>
      <w:r>
        <w:rPr>
          <w:b/>
          <w:bCs/>
        </w:rPr>
        <w:t xml:space="preserve">DTW</w:t>
      </w:r>
      <w:r>
        <w:t xml:space="preserve"> (Sakoe y Chiba, 1978) con plantillas de 16 frames. Las plantillas se bajan de </w:t>
      </w:r>
      <w:r>
        <w:rPr>
          <w:rFonts w:ascii="Courier New" w:cs="Courier New" w:eastAsia="Courier New" w:hAnsi="Courier New"/>
          <w:sz w:val="20"/>
          <w:szCs w:val="20"/>
        </w:rPr>
        <w:t xml:space="preserve">GET /api/sign-templates?kind=motion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Dos formatos de entrada coexisten</w:t>
      </w:r>
      <w:r>
        <w:t xml:space="preserve"> (16 × 126 en DTW y 30 × 128 en el modelo TF.js): no son el mismo camino.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En iOS/Android el modo Palabras no está soportado (</w:t>
      </w:r>
      <w:r>
        <w:rPr>
          <w:rFonts w:ascii="Courier New" w:cs="Courier New" w:eastAsia="Courier New" w:hAnsi="Courier New"/>
          <w:sz w:val="20"/>
          <w:szCs w:val="20"/>
        </w:rPr>
        <w:t xml:space="preserve">wordEngine.ts</w:t>
      </w:r>
      <w:r>
        <w:t xml:space="preserve">). </w:t>
      </w:r>
      <w:r>
        <w:rPr>
          <w:rFonts w:ascii="Courier New" w:cs="Courier New" w:eastAsia="Courier New" w:hAnsi="Courier New"/>
          <w:sz w:val="20"/>
          <w:szCs w:val="20"/>
        </w:rPr>
        <w:t xml:space="preserve">TFJS_MODEL_URL = ''</w:t>
      </w:r>
      <w:r>
        <w:t xml:space="preserve">: la vía TF.js móvil está inactiva.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Entrenamiento fuera del servidor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Backend@develop:src/domains/ia/training/</w:t>
      </w:r>
      <w:r>
        <w:t xml:space="preserve">): scripts TypeScript (</w:t>
      </w:r>
      <w:r>
        <w:rPr>
          <w:rFonts w:ascii="Courier New" w:cs="Courier New" w:eastAsia="Courier New" w:hAnsi="Courier New"/>
          <w:sz w:val="20"/>
          <w:szCs w:val="20"/>
        </w:rPr>
        <w:t xml:space="preserve">npm run ia:*</w:t>
      </w:r>
      <w:r>
        <w:t xml:space="preserve">) para bajar/convertir el dataset LSC-54 (Mora-Zarate et al., 2025) y subir plantillas; scripts Python/Keras y notebooks de Colab para entrenar un modelo Conv1D + GRU y exportarlo a TensorFlow.js (Google, s.f.). El modelo resultante se copia a </w:t>
      </w:r>
      <w:r>
        <w:rPr>
          <w:rFonts w:ascii="Courier New" w:cs="Courier New" w:eastAsia="Courier New" w:hAnsi="Courier New"/>
          <w:sz w:val="20"/>
          <w:szCs w:val="20"/>
        </w:rPr>
        <w:t xml:space="preserve">Frontend/public/models/lsc/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Licencia del dataset LSC-54:</w:t>
      </w:r>
      <w:r>
        <w:t xml:space="preserve"> CC BY-NC 4.0 (uso no comercial, hay que citarlo). Choca con la decisión abierta de una cuota comercial.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t xml:space="preserve">El modelo aprendió de personas grabadas en un estudio; con otra cámara puede fallar. Para eso existe la pantalla "Mis repeticiones" (</w:t>
      </w:r>
      <w:r>
        <w:rPr>
          <w:rFonts w:ascii="Courier New" w:cs="Courier New" w:eastAsia="Courier New" w:hAnsi="Courier New"/>
          <w:sz w:val="20"/>
          <w:szCs w:val="20"/>
        </w:rPr>
        <w:t xml:space="preserve">ModelSamplesScreen</w:t>
      </w:r>
      <w:r>
        <w:t xml:space="preserve">), que graba repeticiones propias para reajustarlo. La exactitud del modelo actual todavía no se ha medido.</w:t>
      </w:r>
    </w:p>
    <w:p>
      <w:pPr>
        <w:pStyle w:val="Heading1"/>
      </w:pPr>
      <w:r>
        <w:t xml:space="preserve">7. Frontend</w:t>
      </w:r>
    </w:p>
    <w:p>
      <w:pPr>
        <w:spacing w:line="480"/>
        <w:ind w:firstLine="720"/>
      </w:pPr>
      <w:r>
        <w:t xml:space="preserve">Estructura (</w:t>
      </w:r>
      <w:r>
        <w:rPr>
          <w:rFonts w:ascii="Courier New" w:cs="Courier New" w:eastAsia="Courier New" w:hAnsi="Courier New"/>
          <w:sz w:val="20"/>
          <w:szCs w:val="20"/>
        </w:rPr>
        <w:t xml:space="preserve">src</w:t>
      </w:r>
      <w:r>
        <w:t xml:space="preserve"> del repositorio Frontend): </w:t>
      </w:r>
      <w:r>
        <w:rPr>
          <w:rFonts w:ascii="Courier New" w:cs="Courier New" w:eastAsia="Courier New" w:hAnsi="Courier New"/>
          <w:sz w:val="20"/>
          <w:szCs w:val="20"/>
        </w:rPr>
        <w:t xml:space="preserve">app/</w:t>
      </w:r>
      <w:r>
        <w:t xml:space="preserve"> (config, providers, routes), </w:t>
      </w:r>
      <w:r>
        <w:rPr>
          <w:rFonts w:ascii="Courier New" w:cs="Courier New" w:eastAsia="Courier New" w:hAnsi="Courier New"/>
          <w:sz w:val="20"/>
          <w:szCs w:val="20"/>
        </w:rPr>
        <w:t xml:space="preserve">feature/</w:t>
      </w:r>
      <w:r>
        <w:t xml:space="preserve"> (Admin, Alphabet, History, Profile, Stats, Translation, auth, homescreen), </w:t>
      </w:r>
      <w:r>
        <w:rPr>
          <w:rFonts w:ascii="Courier New" w:cs="Courier New" w:eastAsia="Courier New" w:hAnsi="Courier New"/>
          <w:sz w:val="20"/>
          <w:szCs w:val="20"/>
        </w:rPr>
        <w:t xml:space="preserve">shared/</w:t>
      </w:r>
      <w:r>
        <w:t xml:space="preserve"> (componentes, constantes, servicios, tipos, utilidades), y </w:t>
      </w:r>
      <w:r>
        <w:rPr>
          <w:rFonts w:ascii="Courier New" w:cs="Courier New" w:eastAsia="Courier New" w:hAnsi="Courier New"/>
          <w:sz w:val="20"/>
          <w:szCs w:val="20"/>
        </w:rPr>
        <w:t xml:space="preserve">public/models/lsc/</w:t>
      </w:r>
      <w:r>
        <w:t xml:space="preserve"> (modelo).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Providers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App.tsx</w:t>
      </w:r>
      <w:r>
        <w:t xml:space="preserve">): </w:t>
      </w:r>
      <w:r>
        <w:rPr>
          <w:rFonts w:ascii="Courier New" w:cs="Courier New" w:eastAsia="Courier New" w:hAnsi="Courier New"/>
          <w:sz w:val="20"/>
          <w:szCs w:val="20"/>
        </w:rPr>
        <w:t xml:space="preserve">SafeAreaProvider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LanguageProvider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ThemeProvider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AuthProvider</w:t>
      </w:r>
      <w:r>
        <w:t xml:space="preserve"> &gt; </w:t>
      </w:r>
      <w:r>
        <w:rPr>
          <w:rFonts w:ascii="Courier New" w:cs="Courier New" w:eastAsia="Courier New" w:hAnsi="Courier New"/>
          <w:sz w:val="20"/>
          <w:szCs w:val="20"/>
        </w:rPr>
        <w:t xml:space="preserve">AccessProvider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AccessContext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app/providers/AccessContext.tsx</w:t>
      </w:r>
      <w:r>
        <w:t xml:space="preserve">): al iniciar sesión llama a </w:t>
      </w:r>
      <w:r>
        <w:rPr>
          <w:rFonts w:ascii="Courier New" w:cs="Courier New" w:eastAsia="Courier New" w:hAnsi="Courier New"/>
          <w:sz w:val="20"/>
          <w:szCs w:val="20"/>
        </w:rPr>
        <w:t xml:space="preserve">GET /api/iam/me/access</w:t>
      </w:r>
      <w:r>
        <w:t xml:space="preserve"> y guarda </w:t>
      </w:r>
      <w:r>
        <w:rPr>
          <w:rFonts w:ascii="Courier New" w:cs="Courier New" w:eastAsia="Courier New" w:hAnsi="Courier New"/>
          <w:sz w:val="20"/>
          <w:szCs w:val="20"/>
        </w:rPr>
        <w:t xml:space="preserve">roles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permissions</w:t>
      </w:r>
      <w:r>
        <w:t xml:space="preserve">. Si falla, deniega todo y avisa ("accessLoadError"). </w:t>
      </w:r>
      <w:r>
        <w:rPr>
          <w:rFonts w:ascii="Courier New" w:cs="Courier New" w:eastAsia="Courier New" w:hAnsi="Courier New"/>
          <w:sz w:val="20"/>
          <w:szCs w:val="20"/>
        </w:rPr>
        <w:t xml:space="preserve">useAdminMode()</w:t>
      </w:r>
      <w:r>
        <w:t xml:space="preserve"> deriva </w:t>
      </w:r>
      <w:r>
        <w:rPr>
          <w:rFonts w:ascii="Courier New" w:cs="Courier New" w:eastAsia="Courier New" w:hAnsi="Courier New"/>
          <w:sz w:val="20"/>
          <w:szCs w:val="20"/>
        </w:rPr>
        <w:t xml:space="preserve">adminMode</w:t>
      </w:r>
      <w:r>
        <w:t xml:space="preserve"> (= </w:t>
      </w:r>
      <w:r>
        <w:rPr>
          <w:rFonts w:ascii="Courier New" w:cs="Courier New" w:eastAsia="Courier New" w:hAnsi="Courier New"/>
          <w:sz w:val="20"/>
          <w:szCs w:val="20"/>
        </w:rPr>
        <w:t xml:space="preserve">users.manage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canStats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stats.read</w:t>
      </w:r>
      <w:r>
        <w:t xml:space="preserve">) y </w:t>
      </w:r>
      <w:r>
        <w:rPr>
          <w:rFonts w:ascii="Courier New" w:cs="Courier New" w:eastAsia="Courier New" w:hAnsi="Courier New"/>
          <w:sz w:val="20"/>
          <w:szCs w:val="20"/>
        </w:rPr>
        <w:t xml:space="preserve">canAdmin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users.manage</w:t>
      </w:r>
      <w:r>
        <w:t xml:space="preserve"> o </w:t>
      </w:r>
      <w:r>
        <w:rPr>
          <w:rFonts w:ascii="Courier New" w:cs="Courier New" w:eastAsia="Courier New" w:hAnsi="Courier New"/>
          <w:sz w:val="20"/>
          <w:szCs w:val="20"/>
        </w:rPr>
        <w:t xml:space="preserve">models.manage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Navegación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MainTabNavigator.tsx</w:t>
      </w:r>
      <w:r>
        <w:t xml:space="preserve">): con </w:t>
      </w:r>
      <w:r>
        <w:rPr>
          <w:rFonts w:ascii="Courier New" w:cs="Courier New" w:eastAsia="Courier New" w:hAnsi="Courier New"/>
          <w:sz w:val="20"/>
          <w:szCs w:val="20"/>
        </w:rPr>
        <w:t xml:space="preserve">adminMode</w:t>
      </w:r>
      <w:r>
        <w:t xml:space="preserve"> se muestran Estadística/Admin/Perfil; sin él, Traducción/Alfabeto/Historial/Perfil. Un ADMIN no ve Traducción.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Cliente HTTP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shared/services/api.client.ts</w:t>
      </w:r>
      <w:r>
        <w:t xml:space="preserve">): axios con token en </w:t>
      </w:r>
      <w:r>
        <w:rPr>
          <w:rFonts w:ascii="Courier New" w:cs="Courier New" w:eastAsia="Courier New" w:hAnsi="Courier New"/>
          <w:sz w:val="20"/>
          <w:szCs w:val="20"/>
        </w:rPr>
        <w:t xml:space="preserve">expo-secure-store</w:t>
      </w:r>
      <w:r>
        <w:t xml:space="preserve"> (móvil) o </w:t>
      </w:r>
      <w:r>
        <w:rPr>
          <w:rFonts w:ascii="Courier New" w:cs="Courier New" w:eastAsia="Courier New" w:hAnsi="Courier New"/>
          <w:sz w:val="20"/>
          <w:szCs w:val="20"/>
        </w:rPr>
        <w:t xml:space="preserve">AsyncStorage</w:t>
      </w:r>
      <w:r>
        <w:t xml:space="preserve"> (web); interceptor que añade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</w:t>
      </w:r>
      <w:r>
        <w:t xml:space="preserve"> solo a la API propia y avisa en 401.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i18n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app/config/i18n/locales/</w:t>
      </w:r>
      <w:r>
        <w:t xml:space="preserve">): español, inglés, francés y portugués; idioma por defecto español.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Archivos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.web.ts</w:t>
      </w:r>
      <w:r>
        <w:rPr>
          <w:b/>
          <w:bCs/>
        </w:rPr>
        <w:t xml:space="preserve">:</w:t>
      </w:r>
      <w:r>
        <w:t xml:space="preserve"> Metro elige </w:t>
      </w:r>
      <w:r>
        <w:rPr>
          <w:rFonts w:ascii="Courier New" w:cs="Courier New" w:eastAsia="Courier New" w:hAnsi="Courier New"/>
          <w:sz w:val="20"/>
          <w:szCs w:val="20"/>
        </w:rPr>
        <w:t xml:space="preserve">*.web.ts</w:t>
      </w:r>
      <w:r>
        <w:t xml:space="preserve"> en web (por ejemplo </w:t>
      </w:r>
      <w:r>
        <w:rPr>
          <w:rFonts w:ascii="Courier New" w:cs="Courier New" w:eastAsia="Courier New" w:hAnsi="Courier New"/>
          <w:sz w:val="20"/>
          <w:szCs w:val="20"/>
        </w:rPr>
        <w:t xml:space="preserve">wordEngine.web.ts</w:t>
      </w:r>
      <w:r>
        <w:t xml:space="preserve">).</w:t>
      </w:r>
    </w:p>
    <w:p>
      <w:pPr>
        <w:spacing w:line="480"/>
        <w:ind w:firstLine="720"/>
      </w:pPr>
      <w:r>
        <w:t xml:space="preserve">Estado de conexión de pantallas con el backend:</w:t>
      </w:r>
    </w:p>
    <w:p>
      <w:pPr>
        <w:keepNext/>
        <w:spacing w:line="480"/>
      </w:pPr>
      <w:r>
        <w:rPr>
          <w:b/>
          <w:bCs/>
        </w:rPr>
        <w:t xml:space="preserve">Tabla 7</w:t>
      </w:r>
    </w:p>
    <w:p>
      <w:pPr>
        <w:keepNext/>
        <w:spacing w:line="480"/>
      </w:pPr>
      <w:r>
        <w:rPr>
          <w:i/>
          <w:iCs/>
        </w:rPr>
        <w:t xml:space="preserve">Frontend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67"/>
        <w:gridCol w:w="4793"/>
      </w:tblGrid>
      <w:tr>
        <w:trPr>
          <w:cantSplit/>
          <w:tblHeader/>
        </w:trPr>
        <w:tc>
          <w:tcPr>
            <w:tcW w:type="dxa" w:w="4567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Pantalla / función</w:t>
            </w:r>
          </w:p>
        </w:tc>
        <w:tc>
          <w:tcPr>
            <w:tcW w:type="dxa" w:w="479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¿Conectada?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Login, registro, verificar correo, reenviar código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Traducción (guardar), Historial (listar/borrar)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Permisos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/iam/me/access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Plantillas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/sign-templates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Olvidé mi contraseña / código / nueva contraseña / cambiar contraseña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usan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setTimeout</w:t>
            </w:r>
            <w:r>
              <w:rPr>
                <w:sz w:val="22"/>
                <w:szCs w:val="22"/>
              </w:rPr>
              <w:t xml:space="preserve"> simulado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ForgotPasswordScreen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VerifyCodeScreen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NewPasswordScreen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ChangePasswordScreen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Eliminar cuenta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solo muestra un aviso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ProfileScreen.tsx</w:t>
            </w:r>
            <w:r>
              <w:rPr>
                <w:sz w:val="22"/>
                <w:szCs w:val="22"/>
              </w:rPr>
              <w:t xml:space="preserve"> l. 66-75)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Estadística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números y gráficas fijas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StatsScreen.tsx</w:t>
            </w:r>
            <w:r>
              <w:rPr>
                <w:sz w:val="22"/>
                <w:szCs w:val="22"/>
              </w:rPr>
              <w:t xml:space="preserve">);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ENDPOINTS.analytics*</w:t>
            </w:r>
            <w:r>
              <w:rPr>
                <w:sz w:val="22"/>
                <w:szCs w:val="22"/>
              </w:rPr>
              <w:t xml:space="preserve"> están definidos y sin uso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Gestión de roles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/iam/roles</w:t>
            </w:r>
            <w:r>
              <w:rPr>
                <w:sz w:val="22"/>
                <w:szCs w:val="22"/>
              </w:rPr>
              <w:t xml:space="preserve">, etc.)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 hay pantalla</w:t>
            </w:r>
            <w:r>
              <w:rPr>
                <w:sz w:val="22"/>
                <w:szCs w:val="22"/>
              </w:rPr>
              <w:t xml:space="preserve">; solo API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Botones Google y Facebook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 (sin función;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LoginScreen.tsx</w:t>
            </w:r>
            <w:r>
              <w:rPr>
                <w:sz w:val="22"/>
                <w:szCs w:val="22"/>
              </w:rPr>
              <w:t xml:space="preserve"> l. 145-150)</w:t>
            </w:r>
          </w:p>
        </w:tc>
      </w:tr>
      <w:tr>
        <w:trPr>
          <w:cantSplit/>
        </w:trPr>
        <w:tc>
          <w:tcPr>
            <w:tcW w:type="dxa" w:w="456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Notificaciones (interruptor en Perfil, solo 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notifications.manage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479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  <w:t xml:space="preserve">: estado local de la pantalla, no se guarda ni llama al servidor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ProfileScreen.tsx</w:t>
            </w:r>
            <w:r>
              <w:rPr>
                <w:sz w:val="22"/>
                <w:szCs w:val="22"/>
              </w:rPr>
              <w:t xml:space="preserve"> l. 45-48 y 195-197)</w:t>
            </w:r>
          </w:p>
        </w:tc>
      </w:tr>
    </w:tbl>
    <w:p>
      <w:pPr>
        <w:spacing w:before="240" w:line="480"/>
        <w:ind w:left="720"/>
      </w:pPr>
      <w:r>
        <w:rPr>
          <w:b/>
          <w:bCs/>
        </w:rPr>
        <w:t xml:space="preserve">Notificaciones en el backend.</w:t>
      </w:r>
      <w:r>
        <w:t xml:space="preserve"> La versión más reciente de la rama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del Backend, ya organizada en microservicios, incluye en </w:t>
      </w:r>
      <w:r>
        <w:rPr>
          <w:rFonts w:ascii="Courier New" w:cs="Courier New" w:eastAsia="Courier New" w:hAnsi="Courier New"/>
          <w:sz w:val="20"/>
          <w:szCs w:val="20"/>
        </w:rPr>
        <w:t xml:space="preserve">profile-service</w:t>
      </w:r>
      <w:r>
        <w:t xml:space="preserve"> las rutas </w:t>
      </w:r>
      <w:r>
        <w:rPr>
          <w:rFonts w:ascii="Courier New" w:cs="Courier New" w:eastAsia="Courier New" w:hAnsi="Courier New"/>
          <w:sz w:val="20"/>
          <w:szCs w:val="20"/>
        </w:rPr>
        <w:t xml:space="preserve">GET /api/notifications</w:t>
      </w:r>
      <w:r>
        <w:t xml:space="preserve"> (lista paginada; parámetros </w:t>
      </w:r>
      <w:r>
        <w:rPr>
          <w:rFonts w:ascii="Courier New" w:cs="Courier New" w:eastAsia="Courier New" w:hAnsi="Courier New"/>
          <w:sz w:val="20"/>
          <w:szCs w:val="20"/>
        </w:rPr>
        <w:t xml:space="preserve">page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limit</w:t>
      </w:r>
      <w:r>
        <w:t xml:space="preserve"> máx. 100 y </w:t>
      </w:r>
      <w:r>
        <w:rPr>
          <w:rFonts w:ascii="Courier New" w:cs="Courier New" w:eastAsia="Courier New" w:hAnsi="Courier New"/>
          <w:sz w:val="20"/>
          <w:szCs w:val="20"/>
        </w:rPr>
        <w:t xml:space="preserve">unreadOnly</w:t>
      </w:r>
      <w:r>
        <w:t xml:space="preserve">) y </w:t>
      </w:r>
      <w:r>
        <w:rPr>
          <w:rFonts w:ascii="Courier New" w:cs="Courier New" w:eastAsia="Courier New" w:hAnsi="Courier New"/>
          <w:sz w:val="20"/>
          <w:szCs w:val="20"/>
        </w:rPr>
        <w:t xml:space="preserve">PATCH /api/notifications/:id/read</w:t>
      </w:r>
      <w:r>
        <w:t xml:space="preserve"> (marcar como leída), ambas con token. No están en la tabla de la sección 3.2, que describe </w:t>
      </w:r>
      <w:r>
        <w:rPr>
          <w:rFonts w:ascii="Courier New" w:cs="Courier New" w:eastAsia="Courier New" w:hAnsi="Courier New"/>
          <w:sz w:val="20"/>
          <w:szCs w:val="20"/>
        </w:rPr>
        <w:t xml:space="preserve">2c4e62d</w:t>
      </w:r>
      <w:r>
        <w:t xml:space="preserve">, y el frontend todavía no las usa.</w:t>
      </w:r>
    </w:p>
    <w:p>
      <w:pPr>
        <w:pStyle w:val="Heading1"/>
      </w:pPr>
      <w:r>
        <w:t xml:space="preserve">8. Diagramas</w:t>
      </w:r>
    </w:p>
    <w:p>
      <w:pPr>
        <w:spacing w:line="480"/>
        <w:ind w:firstLine="720"/>
      </w:pPr>
      <w:r>
        <w:t xml:space="preserve">Los diagramas de clases (CL) se hicieron con PlantUML y se basan en </w:t>
      </w:r>
      <w:r>
        <w:rPr>
          <w:rFonts w:ascii="Courier New" w:cs="Courier New" w:eastAsia="Courier New" w:hAnsi="Courier New"/>
          <w:sz w:val="20"/>
          <w:szCs w:val="20"/>
        </w:rPr>
        <w:t xml:space="preserve">backendTS@c142c80</w:t>
      </w:r>
      <w:r>
        <w:t xml:space="preserve">: </w:t>
      </w:r>
      <w:r>
        <w:rPr>
          <w:b/>
          <w:bCs/>
        </w:rPr>
        <w:t xml:space="preserve">no incluyen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 ni los cambios de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 de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.</w:t>
      </w:r>
    </w:p>
    <w:p>
      <w:pPr>
        <w:keepNext/>
        <w:spacing w:line="480"/>
      </w:pPr>
      <w:r>
        <w:rPr>
          <w:b/>
          <w:bCs/>
        </w:rPr>
        <w:t xml:space="preserve">Figura 1</w:t>
      </w:r>
    </w:p>
    <w:p>
      <w:pPr>
        <w:keepNext/>
        <w:spacing w:line="480"/>
      </w:pPr>
      <w:r>
        <w:rPr>
          <w:i/>
          <w:iCs/>
        </w:rPr>
        <w:t xml:space="preserve">CL-02, vista general del backend (basado en c142c80, anterior a iam y analytics)</w:t>
      </w:r>
    </w:p>
    <w:p>
      <w:pPr>
        <w:keepLines/>
        <w:spacing w:after="0" w:before="0" w:line="240"/>
      </w:pPr>
      <w:r>
        <w:drawing>
          <wp:inline distT="0" distB="0" distL="0" distR="0">
            <wp:extent cx="5943600" cy="1371600"/>
            <wp:effectExtent t="0" r="0" b="0" l="0"/>
            <wp:docPr id="15" name="class-backend-overview.svg" descr="CL-02: vista general del backend (basado en c142c80)" title="CL-02: vista general del backend (basado en c142c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line="480"/>
      </w:pPr>
      <w:r>
        <w:rPr>
          <w:b/>
          <w:bCs/>
        </w:rPr>
        <w:t xml:space="preserve">Tabla 8</w:t>
      </w:r>
    </w:p>
    <w:p>
      <w:pPr>
        <w:keepNext/>
        <w:spacing w:line="480"/>
      </w:pPr>
      <w:r>
        <w:rPr>
          <w:i/>
          <w:iCs/>
        </w:rPr>
        <w:t xml:space="preserve">Diagramas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35"/>
        <w:gridCol w:w="4182"/>
        <w:gridCol w:w="3943"/>
      </w:tblGrid>
      <w:tr>
        <w:trPr>
          <w:cantSplit/>
          <w:tblHeader/>
        </w:trPr>
        <w:tc>
          <w:tcPr>
            <w:tcW w:type="dxa" w:w="1235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4182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Diagrama</w:t>
            </w:r>
          </w:p>
        </w:tc>
        <w:tc>
          <w:tcPr>
            <w:tcW w:type="dxa" w:w="3943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CL-01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Clases por patrón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class-backend-patterns.svg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CL-02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Vista general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class-backend-overview.svg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CL-03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Dominio auth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class-backend-auth.svg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CL-04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Dominio users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class-backend-users.svg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CL-05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Dominio translations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class-backend-translations.svg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CL-06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Dominio ia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class-backend-ia.svg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CL-07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Compartido (shared)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class-backend-shared.svg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CL-08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Entidades planeadas (no implementadas)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class-backend-planned.svg</w:t>
            </w:r>
          </w:p>
        </w:tc>
      </w:tr>
      <w:tr>
        <w:trPr>
          <w:cantSplit/>
        </w:trPr>
        <w:tc>
          <w:tcPr>
            <w:tcW w:type="dxa" w:w="123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UC-01</w:t>
            </w:r>
          </w:p>
        </w:tc>
        <w:tc>
          <w:tcPr>
            <w:tcW w:type="dxa" w:w="418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Casos de uso (PDF importado, sin fuente)</w:t>
            </w:r>
          </w:p>
        </w:tc>
        <w:tc>
          <w:tcPr>
            <w:tcW w:type="dxa" w:w="394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use-cases.pdf</w:t>
            </w:r>
          </w:p>
        </w:tc>
      </w:tr>
    </w:tbl>
    <w:p>
      <w:pPr>
        <w:spacing w:before="240" w:line="480"/>
        <w:ind w:firstLine="720"/>
      </w:pPr>
      <w:r>
        <w:t xml:space="preserve">El diagrama UC-01 debe leerse junto con el alcance del MVP: solo de seña a texto o voz.</w:t>
      </w:r>
    </w:p>
    <w:p>
      <w:pPr>
        <w:pStyle w:val="Heading1"/>
      </w:pPr>
      <w:r>
        <w:t xml:space="preserve">9. Pruebas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Backend</w:t>
      </w:r>
      <w:r>
        <w:t xml:space="preserve"> (en </w:t>
      </w:r>
      <w:r>
        <w:rPr>
          <w:rFonts w:ascii="Courier New" w:cs="Courier New" w:eastAsia="Courier New" w:hAnsi="Courier New"/>
          <w:sz w:val="20"/>
          <w:szCs w:val="20"/>
        </w:rPr>
        <w:t xml:space="preserve">origin/develop</w:t>
      </w:r>
      <w:r>
        <w:t xml:space="preserve">): 17 archivos </w:t>
      </w:r>
      <w:r>
        <w:rPr>
          <w:rFonts w:ascii="Courier New" w:cs="Courier New" w:eastAsia="Courier New" w:hAnsi="Courier New"/>
          <w:sz w:val="20"/>
          <w:szCs w:val="20"/>
        </w:rPr>
        <w:t xml:space="preserve">*.test.ts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tests/</w:t>
      </w:r>
      <w:r>
        <w:t xml:space="preserve"> (dominio, aplicación y adaptadores de </w:t>
      </w:r>
      <w:r>
        <w:rPr>
          <w:rFonts w:ascii="Courier New" w:cs="Courier New" w:eastAsia="Courier New" w:hAnsi="Courier New"/>
          <w:sz w:val="20"/>
          <w:szCs w:val="20"/>
        </w:rPr>
        <w:t xml:space="preserve">auth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translations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users</w:t>
      </w:r>
      <w:r>
        <w:t xml:space="preserve">) con </w:t>
      </w:r>
      <w:r>
        <w:rPr>
          <w:b/>
          <w:bCs/>
        </w:rPr>
        <w:t xml:space="preserve">vitest 5</w:t>
      </w:r>
      <w:r>
        <w:t xml:space="preserve">. Comando: </w:t>
      </w:r>
      <w:r>
        <w:rPr>
          <w:rFonts w:ascii="Courier New" w:cs="Courier New" w:eastAsia="Courier New" w:hAnsi="Courier New"/>
          <w:sz w:val="20"/>
          <w:szCs w:val="20"/>
        </w:rPr>
        <w:t xml:space="preserve">npm test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vitest run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Frontend:</w:t>
      </w:r>
      <w:r>
        <w:t xml:space="preserve"> no hay script </w:t>
      </w:r>
      <w:r>
        <w:rPr>
          <w:rFonts w:ascii="Courier New" w:cs="Courier New" w:eastAsia="Courier New" w:hAnsi="Courier New"/>
          <w:sz w:val="20"/>
          <w:szCs w:val="20"/>
        </w:rPr>
        <w:t xml:space="preserve">test</w:t>
      </w:r>
      <w:r>
        <w:t xml:space="preserve">. Solo </w:t>
      </w:r>
      <w:r>
        <w:rPr>
          <w:rFonts w:ascii="Courier New" w:cs="Courier New" w:eastAsia="Courier New" w:hAnsi="Courier New"/>
          <w:sz w:val="20"/>
          <w:szCs w:val="20"/>
        </w:rPr>
        <w:t xml:space="preserve">npm run typecheck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tsc --noEmit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b/>
          <w:bCs/>
        </w:rPr>
        <w:t xml:space="preserve">CI:</w:t>
      </w:r>
      <w:r>
        <w:t xml:space="preserve"> ningún repositorio tiene workflows de GitHub Actions: </w:t>
      </w:r>
      <w:r>
        <w:rPr>
          <w:rFonts w:ascii="Courier New" w:cs="Courier New" w:eastAsia="Courier New" w:hAnsi="Courier New"/>
          <w:sz w:val="20"/>
          <w:szCs w:val="20"/>
        </w:rPr>
        <w:t xml:space="preserve">Backend@develop</w:t>
      </w:r>
      <w:r>
        <w:t xml:space="preserve"> no tiene </w:t>
      </w:r>
      <w:r>
        <w:rPr>
          <w:rFonts w:ascii="Courier New" w:cs="Courier New" w:eastAsia="Courier New" w:hAnsi="Courier New"/>
          <w:sz w:val="20"/>
          <w:szCs w:val="20"/>
        </w:rPr>
        <w:t xml:space="preserve">.github/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Frontend</w:t>
      </w:r>
      <w:r>
        <w:t xml:space="preserve"> solo tiene notas de Copilot en </w:t>
      </w:r>
      <w:r>
        <w:rPr>
          <w:rFonts w:ascii="Courier New" w:cs="Courier New" w:eastAsia="Courier New" w:hAnsi="Courier New"/>
          <w:sz w:val="20"/>
          <w:szCs w:val="20"/>
        </w:rPr>
        <w:t xml:space="preserve">.github/</w:t>
      </w:r>
      <w:r>
        <w:t xml:space="preserve">, y </w:t>
      </w:r>
      <w:r>
        <w:rPr>
          <w:rFonts w:ascii="Courier New" w:cs="Courier New" w:eastAsia="Courier New" w:hAnsi="Courier New"/>
          <w:sz w:val="20"/>
          <w:szCs w:val="20"/>
        </w:rPr>
        <w:t xml:space="preserve">Docs</w:t>
      </w:r>
      <w:r>
        <w:t xml:space="preserve"> solo la plantilla de pull request.</w:t>
      </w:r>
    </w:p>
    <w:p>
      <w:pPr>
        <w:pStyle w:val="Heading1"/>
      </w:pPr>
      <w:r>
        <w:t xml:space="preserve">10. Instalación</w:t>
      </w:r>
    </w:p>
    <w:p>
      <w:pPr>
        <w:pStyle w:val="Heading2"/>
      </w:pPr>
      <w:r>
        <w:t xml:space="preserve">10.1 Instalación local (resumen)</w:t>
      </w:r>
    </w:p>
    <w:p>
      <w:pPr>
        <w:spacing w:line="480"/>
        <w:ind w:firstLine="720"/>
      </w:pPr>
      <w:r>
        <w:t xml:space="preserve">Ver el </w:t>
      </w:r>
      <w:r>
        <w:t xml:space="preserve">Manual de instalación</w:t>
      </w:r>
      <w:r>
        <w:t xml:space="preserve">. Resumen: </w:t>
      </w:r>
      <w:r>
        <w:rPr>
          <w:rFonts w:ascii="Courier New" w:cs="Courier New" w:eastAsia="Courier New" w:hAnsi="Courier New"/>
          <w:sz w:val="20"/>
          <w:szCs w:val="20"/>
        </w:rPr>
        <w:t xml:space="preserve">infra/docker-compose.yml</w:t>
      </w:r>
      <w:r>
        <w:t xml:space="preserve"> (fuera de los repos) levanta </w:t>
      </w:r>
      <w:r>
        <w:rPr>
          <w:rFonts w:ascii="Courier New" w:cs="Courier New" w:eastAsia="Courier New" w:hAnsi="Courier New"/>
          <w:sz w:val="20"/>
          <w:szCs w:val="20"/>
        </w:rPr>
        <w:t xml:space="preserve">frontend</w:t>
      </w:r>
      <w:r>
        <w:t xml:space="preserve"> (nginx, </w:t>
      </w:r>
      <w:r>
        <w:rPr>
          <w:rFonts w:ascii="Courier New" w:cs="Courier New" w:eastAsia="Courier New" w:hAnsi="Courier New"/>
          <w:sz w:val="20"/>
          <w:szCs w:val="20"/>
        </w:rPr>
        <w:t xml:space="preserve">127.0.0.1:8080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backend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127.0.0.1:3000</w:t>
      </w:r>
      <w:r>
        <w:t xml:space="preserve">) y </w:t>
      </w:r>
      <w:r>
        <w:rPr>
          <w:rFonts w:ascii="Courier New" w:cs="Courier New" w:eastAsia="Courier New" w:hAnsi="Courier New"/>
          <w:sz w:val="20"/>
          <w:szCs w:val="20"/>
        </w:rPr>
        <w:t xml:space="preserve">postgres:16-alpine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127.0.0.1:5433</w:t>
      </w:r>
      <w:r>
        <w:t xml:space="preserve">), con las migraciones montadas como </w:t>
      </w:r>
      <w:r>
        <w:rPr>
          <w:rFonts w:ascii="Courier New" w:cs="Courier New" w:eastAsia="Courier New" w:hAnsi="Courier New"/>
          <w:sz w:val="20"/>
          <w:szCs w:val="20"/>
        </w:rPr>
        <w:t xml:space="preserve">initdb.d</w:t>
      </w:r>
      <w:r>
        <w:t xml:space="preserve">. Sin Redis ni Mongo. Imágenes construidas con </w:t>
      </w:r>
      <w:r>
        <w:rPr>
          <w:rFonts w:ascii="Courier New" w:cs="Courier New" w:eastAsia="Courier New" w:hAnsi="Courier New"/>
          <w:sz w:val="20"/>
          <w:szCs w:val="20"/>
        </w:rPr>
        <w:t xml:space="preserve">build-frontend.sh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build-backend.sh</w:t>
      </w:r>
      <w:r>
        <w:t xml:space="preserve">. El Dockerfile de develop aún no incluye el HEALTHCHECK que el compose necesita para arrancar la web; ver la advertencia del Manual de instalación.</w:t>
      </w:r>
    </w:p>
    <w:p>
      <w:pPr>
        <w:pStyle w:val="Heading2"/>
      </w:pPr>
      <w:r>
        <w:t xml:space="preserve">10.2 Instalación en servidor web</w:t>
      </w:r>
    </w:p>
    <w:p>
      <w:pPr>
        <w:spacing w:line="480"/>
        <w:ind w:firstLine="720"/>
      </w:pPr>
      <w:r>
        <w:t xml:space="preserve">Esta versión no incluye un procedimiento de despliegue en un servidor web; ver el Manual de instalación, sección 2.6.</w:t>
      </w:r>
    </w:p>
    <w:p>
      <w:pPr>
        <w:pStyle w:val="Heading1"/>
      </w:pPr>
      <w:r>
        <w:t xml:space="preserve">11. Ejecución del aplicativo</w:t>
      </w:r>
    </w:p>
    <w:p>
      <w:pPr>
        <w:spacing w:line="480"/>
        <w:ind w:firstLine="720"/>
      </w:pPr>
      <w:r>
        <w:t xml:space="preserve">Ver Manual de instalación, secciones 2.3 y 4.</w:t>
      </w:r>
    </w:p>
    <w:p>
      <w:pPr>
        <w:pStyle w:val="Heading1"/>
      </w:pPr>
      <w:r>
        <w:t xml:space="preserve">12. Real frente a documentado</w:t>
      </w:r>
    </w:p>
    <w:p>
      <w:pPr>
        <w:keepNext/>
        <w:spacing w:line="480"/>
      </w:pPr>
      <w:r>
        <w:rPr>
          <w:b/>
          <w:bCs/>
        </w:rPr>
        <w:t xml:space="preserve">Tabla 9</w:t>
      </w:r>
    </w:p>
    <w:p>
      <w:pPr>
        <w:keepNext/>
        <w:spacing w:line="480"/>
      </w:pPr>
      <w:r>
        <w:rPr>
          <w:i/>
          <w:iCs/>
        </w:rPr>
        <w:t xml:space="preserve">Real frente a documentado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8"/>
        <w:gridCol w:w="3621"/>
        <w:gridCol w:w="3631"/>
      </w:tblGrid>
      <w:tr>
        <w:trPr>
          <w:cantSplit/>
          <w:tblHeader/>
        </w:trPr>
        <w:tc>
          <w:tcPr>
            <w:tcW w:type="dxa" w:w="2108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362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Documentado</w:t>
            </w:r>
          </w:p>
        </w:tc>
        <w:tc>
          <w:tcPr>
            <w:tcW w:type="dxa" w:w="3631"/>
            <w:tcBorders>
              <w:bottom w:val="single" w:color="000000" w:sz="8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Real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Arquitectura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Microservicios (plantillas)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Monolito modular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MySQL (documento overview del repositorio trans-sl-docs) o PostgreSQL + MongoDB (ADR-003)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Solo PostgreSQL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Reconocimiento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MediaPipe + OpenCV; TF.js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MediaPipe + KNN/DTW + modelo propio TF.js; sin OpenCV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React Query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Sin React Query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JWT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RS256 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.env.example</w:t>
            </w:r>
            <w:r>
              <w:rPr>
                <w:sz w:val="22"/>
                <w:szCs w:val="22"/>
              </w:rPr>
              <w:t xml:space="preserve"> de Docs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HS256, secreto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, 1 día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API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/refresh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/logout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/jwks</w:t>
            </w:r>
            <w:r>
              <w:rPr>
                <w:sz w:val="22"/>
                <w:szCs w:val="22"/>
              </w:rPr>
              <w:t xml:space="preserve"> en plantillas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No existen; rutas en la sección 3.2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Migraciones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node-pg-migrate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SQL manual (000-006) + Liquibase viejo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Alcance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Seña a texto/voz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La tabla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translations</w:t>
            </w:r>
            <w:r>
              <w:rPr>
                <w:sz w:val="22"/>
                <w:szCs w:val="22"/>
              </w:rPr>
              <w:t xml:space="preserve"> admite además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texto_sena</w:t>
            </w:r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voz_sena</w:t>
            </w:r>
            <w:r>
              <w:rPr>
                <w:sz w:val="22"/>
                <w:szCs w:val="22"/>
              </w:rPr>
              <w:t xml:space="preserve">, sin uso en el MVP</w:t>
            </w:r>
          </w:p>
        </w:tc>
      </w:tr>
      <w:tr>
        <w:trPr>
          <w:cantSplit/>
        </w:trPr>
        <w:tc>
          <w:tcPr>
            <w:tcW w:type="dxa" w:w="21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Rama de integración</w:t>
            </w:r>
          </w:p>
        </w:tc>
        <w:tc>
          <w:tcPr>
            <w:tcW w:type="dxa" w:w="362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</w:t>
            </w:r>
            <w:r>
              <w:rPr>
                <w:sz w:val="22"/>
                <w:szCs w:val="22"/>
              </w:rPr>
              <w:t xml:space="preserve"> (documento git-conventions del repositorio trans-sl-docs)</w:t>
            </w:r>
          </w:p>
        </w:tc>
        <w:tc>
          <w:tcPr>
            <w:tcW w:type="dxa" w:w="363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Los repos Backend y Frontend usan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develop</w:t>
            </w:r>
          </w:p>
        </w:tc>
      </w:tr>
    </w:tbl>
    <w:p>
      <w:pPr>
        <w:pStyle w:val="Heading1"/>
        <w:spacing w:before="240" w:line="480"/>
      </w:pPr>
      <w:r>
        <w:t xml:space="preserve">13. Pendientes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Escribir </w:t>
      </w:r>
      <w:r>
        <w:rPr>
          <w:b/>
          <w:bCs/>
        </w:rPr>
        <w:t xml:space="preserve">ADR-004</w:t>
      </w:r>
      <w:r>
        <w:t xml:space="preserve"> (monolito modular) y actualizar el índice de ADR.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Decidir el estilo interno (capas u hexagonal).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Controlar por rol </w:t>
      </w:r>
      <w:r>
        <w:rPr>
          <w:rFonts w:ascii="Courier New" w:cs="Courier New" w:eastAsia="Courier New" w:hAnsi="Courier New"/>
          <w:sz w:val="20"/>
          <w:szCs w:val="20"/>
        </w:rPr>
        <w:t xml:space="preserve">POST/DELETE /api/sign-templates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Implementar </w:t>
      </w:r>
      <w:r>
        <w:rPr>
          <w:b/>
          <w:bCs/>
        </w:rPr>
        <w:t xml:space="preserve">borrado de cuenta</w:t>
      </w:r>
      <w:r>
        <w:t xml:space="preserve"> (Ley 1581 de 2012) y conectar el botón del Perfil.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Conectar en el frontend la recuperación y el cambio de contraseña.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Conectar Estadística al informe </w:t>
      </w:r>
      <w:r>
        <w:rPr>
          <w:rFonts w:ascii="Courier New" w:cs="Courier New" w:eastAsia="Courier New" w:hAnsi="Courier New"/>
          <w:sz w:val="20"/>
          <w:szCs w:val="20"/>
        </w:rPr>
        <w:t xml:space="preserve">/api/analytics/reports/sections</w:t>
      </w:r>
      <w:r>
        <w:t xml:space="preserve"> y enviar eventos de uso.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Pantalla de gestión de roles.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Revisar token tras bloqueo de cuenta y añadir limitador de intentos en el login.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Unificar migraciones (SQL manual o Liquibase) y cerrar ALIGN-01, ALIGN-02, DATA-11.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Commitear </w:t>
      </w:r>
      <w:r>
        <w:rPr>
          <w:rFonts w:ascii="Courier New" w:cs="Courier New" w:eastAsia="Courier New" w:hAnsi="Courier New"/>
          <w:sz w:val="20"/>
          <w:szCs w:val="20"/>
        </w:rPr>
        <w:t xml:space="preserve">Dockerfile</w:t>
      </w:r>
      <w:r>
        <w:t xml:space="preserve"> (con </w:t>
      </w:r>
      <w:r>
        <w:rPr>
          <w:rFonts w:ascii="Courier New" w:cs="Courier New" w:eastAsia="Courier New" w:hAnsi="Courier New"/>
          <w:sz w:val="20"/>
          <w:szCs w:val="20"/>
        </w:rPr>
        <w:t xml:space="preserve">HEALTHCHECK</w:t>
      </w:r>
      <w:r>
        <w:t xml:space="preserve">), </w:t>
      </w:r>
      <w:r>
        <w:rPr>
          <w:rFonts w:ascii="Courier New" w:cs="Courier New" w:eastAsia="Courier New" w:hAnsi="Courier New"/>
          <w:sz w:val="20"/>
          <w:szCs w:val="20"/>
        </w:rPr>
        <w:t xml:space="preserve">.dockerignore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y scripts, o documentar otro camino.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Generar OpenAPI real de las rutas de la sección 3.2.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Actualizar los diagramas CL 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 (añadir </w:t>
      </w:r>
      <w:r>
        <w:rPr>
          <w:rFonts w:ascii="Courier New" w:cs="Courier New" w:eastAsia="Courier New" w:hAnsi="Courier New"/>
          <w:sz w:val="20"/>
          <w:szCs w:val="20"/>
        </w:rPr>
        <w:t xml:space="preserve">iam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analytics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Unificar los dos formatos de entrada de IA y medir la exactitud del modelo.</w:t>
      </w:r>
    </w:p>
    <w:p>
      <w:pPr>
        <w:pStyle w:val="ListParagraph"/>
        <w:numPr>
          <w:ilvl w:val="0"/>
          <w:numId w:val="3"/>
        </w:numPr>
        <w:spacing w:after="0" w:before="0" w:line="480"/>
      </w:pPr>
      <w:r>
        <w:t xml:space="preserve">Revisar y rotar las credenciales de desarrollo del repositorio Backend.</w:t>
      </w:r>
    </w:p>
    <w:p>
      <w:pPr>
        <w:pStyle w:val="Heading1"/>
        <w:pageBreakBefore/>
      </w:pPr>
      <w:r>
        <w:t xml:space="preserve">Referencias</w:t>
      </w:r>
    </w:p>
    <w:p>
      <w:pPr>
        <w:spacing w:line="480"/>
        <w:ind w:left="720" w:hanging="720"/>
      </w:pPr>
      <w:r>
        <w:t xml:space="preserve">Cover, T., y Hart, P. (1967). Nearest neighbor pattern classification. </w:t>
      </w:r>
      <w:r>
        <w:rPr>
          <w:i/>
          <w:iCs/>
        </w:rPr>
        <w:t xml:space="preserve">IEEE Transactions on Information Theory</w:t>
      </w:r>
      <w:r>
        <w:t xml:space="preserve">, </w:t>
      </w:r>
      <w:r>
        <w:rPr>
          <w:i/>
          <w:iCs/>
        </w:rPr>
        <w:t xml:space="preserve">13</w:t>
      </w:r>
      <w:r>
        <w:t xml:space="preserve">(1), 21–27. </w:t>
      </w:r>
      <w:r>
        <w:t xml:space="preserve">https://doi.org/10.1109/TIT.1967.1053964</w:t>
      </w:r>
    </w:p>
    <w:p>
      <w:pPr>
        <w:spacing w:line="480"/>
        <w:ind w:left="720" w:hanging="720"/>
      </w:pPr>
      <w:r>
        <w:t xml:space="preserve">Expo. (s.f.). </w:t>
      </w:r>
      <w:r>
        <w:rPr>
          <w:i/>
          <w:iCs/>
        </w:rPr>
        <w:t xml:space="preserve">Expo documentation</w:t>
      </w:r>
      <w:r>
        <w:t xml:space="preserve">. Recuperado el 7 de octubre de 2026, de </w:t>
      </w:r>
      <w:r>
        <w:t xml:space="preserve">https://docs.expo.dev/</w:t>
      </w:r>
    </w:p>
    <w:p>
      <w:pPr>
        <w:spacing w:line="480"/>
        <w:ind w:left="720" w:hanging="720"/>
      </w:pPr>
      <w:r>
        <w:t xml:space="preserve">Google. (s.f.). </w:t>
      </w:r>
      <w:r>
        <w:rPr>
          <w:i/>
          <w:iCs/>
        </w:rPr>
        <w:t xml:space="preserve">TensorFlow.js</w:t>
      </w:r>
      <w:r>
        <w:t xml:space="preserve">. Recuperado el 7 de octubre de 2026, de </w:t>
      </w:r>
      <w:r>
        <w:t xml:space="preserve">https://www.tensorflow.org/js</w:t>
      </w:r>
    </w:p>
    <w:p>
      <w:pPr>
        <w:spacing w:line="480"/>
        <w:ind w:left="720" w:hanging="720"/>
      </w:pPr>
      <w:r>
        <w:t xml:space="preserve">Jones, M., Bradley, J., y Sakimura, N. (2015). </w:t>
      </w:r>
      <w:r>
        <w:rPr>
          <w:i/>
          <w:iCs/>
        </w:rPr>
        <w:t xml:space="preserve">JSON Web Token (JWT)</w:t>
      </w:r>
      <w:r>
        <w:t xml:space="preserve"> (RFC 7519). Internet Engineering Task Force. </w:t>
      </w:r>
      <w:r>
        <w:t xml:space="preserve">https://doi.org/10.17487/RFC7519</w:t>
      </w:r>
    </w:p>
    <w:p>
      <w:pPr>
        <w:spacing w:line="480"/>
        <w:ind w:left="720" w:hanging="720"/>
      </w:pPr>
      <w:r>
        <w:t xml:space="preserve">Ley 1581 de 2012. Por la cual se dictan disposiciones generales para la protección de datos personales. 17 de octubre de 2012. D.O. No. 48587.</w:t>
      </w:r>
    </w:p>
    <w:p>
      <w:pPr>
        <w:spacing w:line="480"/>
        <w:ind w:left="720" w:hanging="720"/>
      </w:pPr>
      <w:r>
        <w:t xml:space="preserve">Lugaresi, C., Tang, J., Nash, H., McClanahan, C., Uboweja, E., Hays, M., Zhang, F., Chang, C.-L., Yong, M. G., Lee, J., Chang, W.-T., Hua, W., Georg, M., y Grundmann, M. (2019). </w:t>
      </w:r>
      <w:r>
        <w:rPr>
          <w:i/>
          <w:iCs/>
        </w:rPr>
        <w:t xml:space="preserve">MediaPipe: A framework for building perception pipelines</w:t>
      </w:r>
      <w:r>
        <w:t xml:space="preserve"> [Preprint]. arXiv. </w:t>
      </w:r>
      <w:r>
        <w:t xml:space="preserve">https://doi.org/10.48550/arXiv.1906.08172</w:t>
      </w:r>
    </w:p>
    <w:p>
      <w:pPr>
        <w:spacing w:line="480"/>
        <w:ind w:left="720" w:hanging="720"/>
      </w:pPr>
      <w:r>
        <w:t xml:space="preserve">Meta Platforms, Inc. (s.f.). </w:t>
      </w:r>
      <w:r>
        <w:rPr>
          <w:i/>
          <w:iCs/>
        </w:rPr>
        <w:t xml:space="preserve">React Native</w:t>
      </w:r>
      <w:r>
        <w:t xml:space="preserve">. Recuperado el 7 de octubre de 2026, de </w:t>
      </w:r>
      <w:r>
        <w:t xml:space="preserve">https://reactnative.dev/docs/getting-started</w:t>
      </w:r>
    </w:p>
    <w:p>
      <w:pPr>
        <w:spacing w:line="480"/>
        <w:ind w:left="720" w:hanging="720"/>
      </w:pPr>
      <w:r>
        <w:t xml:space="preserve">Mora-Zarate, J. E., Garzón-Castro, C. L., y Castellanos Rivillas, J. A. (2025). LSC-54: A landmark-based dataset for Colombian Sign Language. </w:t>
      </w:r>
      <w:r>
        <w:rPr>
          <w:i/>
          <w:iCs/>
        </w:rPr>
        <w:t xml:space="preserve">Data in Brief</w:t>
      </w:r>
      <w:r>
        <w:t xml:space="preserve">, </w:t>
      </w:r>
      <w:r>
        <w:rPr>
          <w:i/>
          <w:iCs/>
        </w:rPr>
        <w:t xml:space="preserve">63</w:t>
      </w:r>
      <w:r>
        <w:t xml:space="preserve">, Artículo 112145. </w:t>
      </w:r>
      <w:r>
        <w:t xml:space="preserve">https://doi.org/10.1016/j.dib.2025.112145</w:t>
      </w:r>
    </w:p>
    <w:p>
      <w:pPr>
        <w:spacing w:line="480"/>
        <w:ind w:left="720" w:hanging="720"/>
      </w:pPr>
      <w:r>
        <w:t xml:space="preserve">OpenJS Foundation. (s.f.-a). </w:t>
      </w:r>
      <w:r>
        <w:rPr>
          <w:i/>
          <w:iCs/>
        </w:rPr>
        <w:t xml:space="preserve">Express 5.x API reference</w:t>
      </w:r>
      <w:r>
        <w:t xml:space="preserve">. Recuperado el 7 de octubre de 2026, de </w:t>
      </w:r>
      <w:r>
        <w:t xml:space="preserve">https://expressjs.com/en/5x/api.html</w:t>
      </w:r>
    </w:p>
    <w:p>
      <w:pPr>
        <w:spacing w:line="480"/>
        <w:ind w:left="720" w:hanging="720"/>
      </w:pPr>
      <w:r>
        <w:t xml:space="preserve">OpenJS Foundation. (s.f.-b). </w:t>
      </w:r>
      <w:r>
        <w:rPr>
          <w:i/>
          <w:iCs/>
        </w:rPr>
        <w:t xml:space="preserve">Node.js documentation</w:t>
      </w:r>
      <w:r>
        <w:t xml:space="preserve">. Recuperado el 7 de octubre de 2026, de </w:t>
      </w:r>
      <w:r>
        <w:t xml:space="preserve">https://nodejs.org/docs/latest/api/</w:t>
      </w:r>
    </w:p>
    <w:p>
      <w:pPr>
        <w:spacing w:line="480"/>
        <w:ind w:left="720" w:hanging="720"/>
      </w:pPr>
      <w:r>
        <w:t xml:space="preserve">Provos, N., y Mazières, D. (1999). A future-adaptable password scheme. En </w:t>
      </w:r>
      <w:r>
        <w:rPr>
          <w:i/>
          <w:iCs/>
        </w:rPr>
        <w:t xml:space="preserve">Proceedings of the 1999 USENIX Annual Technical Conference</w:t>
      </w:r>
      <w:r>
        <w:t xml:space="preserve">. USENIX Association.</w:t>
      </w:r>
    </w:p>
    <w:p>
      <w:pPr>
        <w:spacing w:line="480"/>
        <w:ind w:left="720" w:hanging="720"/>
      </w:pPr>
      <w:r>
        <w:t xml:space="preserve">Sakoe, H., y Chiba, S. (1978). Dynamic programming algorithm optimization for spoken word recognition. </w:t>
      </w:r>
      <w:r>
        <w:rPr>
          <w:i/>
          <w:iCs/>
        </w:rPr>
        <w:t xml:space="preserve">IEEE Transactions on Acoustics, Speech, and Signal Processing</w:t>
      </w:r>
      <w:r>
        <w:t xml:space="preserve">, </w:t>
      </w:r>
      <w:r>
        <w:rPr>
          <w:i/>
          <w:iCs/>
        </w:rPr>
        <w:t xml:space="preserve">26</w:t>
      </w:r>
      <w:r>
        <w:t xml:space="preserve">(1), 43–49. </w:t>
      </w:r>
      <w:r>
        <w:t xml:space="preserve">https://doi.org/10.1109/TASSP.1978.1163055</w:t>
      </w:r>
    </w:p>
    <w:p>
      <w:pPr>
        <w:spacing w:line="480"/>
        <w:ind w:left="720" w:hanging="720"/>
      </w:pPr>
      <w:r>
        <w:t xml:space="preserve">The PostgreSQL Global Development Group. (s.f.). </w:t>
      </w:r>
      <w:r>
        <w:rPr>
          <w:i/>
          <w:iCs/>
        </w:rPr>
        <w:t xml:space="preserve">PostgreSQL 16 documentation</w:t>
      </w:r>
      <w:r>
        <w:t xml:space="preserve">. Recuperado el 7 de octubre de 2026, de </w:t>
      </w:r>
      <w:r>
        <w:t xml:space="preserve">https://www.postgresql.org/docs/16/</w:t>
      </w:r>
    </w:p>
    <w:p>
      <w:pPr>
        <w:spacing w:line="480"/>
        <w:ind w:left="720" w:hanging="720"/>
      </w:pPr>
      <w:r>
        <w:t xml:space="preserve">Zhang, F., Bazarevsky, V., Vakunov, A., Tkachenka, A., Sung, G., Chang, C.-L., y Grundmann, M. (2020). </w:t>
      </w:r>
      <w:r>
        <w:rPr>
          <w:i/>
          <w:iCs/>
        </w:rPr>
        <w:t xml:space="preserve">MediaPipe Hands: On-device real-time hand tracking</w:t>
      </w:r>
      <w:r>
        <w:t xml:space="preserve"> [Preprint]. arXiv. </w:t>
      </w:r>
      <w:r>
        <w:t xml:space="preserve">https://doi.org/10.48550/arXiv.2006.10214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440" w:hanging="360"/>
      </w:pPr>
    </w:lvl>
    <w:lvl w:ilvl="1" w:tentative="1">
      <w:start w:val="1"/>
      <w:numFmt w:val="bullet"/>
      <w:lvlText w:val="–"/>
      <w:lvlJc w:val="left"/>
      <w:pPr>
        <w:ind w:left="1800" w:hanging="360"/>
      </w:pPr>
    </w:lvl>
    <w:lvl w:ilvl="2" w:tentative="1">
      <w:start w:val="1"/>
      <w:numFmt w:val="bullet"/>
      <w:lvlText w:val="·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CO"/>
      </w:rPr>
    </w:rPrDefault>
    <w:pPrDefault>
      <w:pPr>
        <w:spacing w:after="0" w:before="0" w:line="48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ind w:left="0"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0" w:line="480"/>
      <w:ind w:left="0"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cb3958deb7c1a3d2549dac1afbf0723ddd8e21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Traduce Señas: Manual técnico</dc:title>
  <dc:creator>Juan Mauricio Suaza Solórzano, Luis Alejandro Duarte Aldana y Juan Camilo Fierro Esquivel</dc:creator>
  <dc:description>Traduce Señas: Manual técnico. Versión 1.3.</dc:description>
  <cp:lastModifiedBy>Juan Mauricio Suaza Solórzano, Luis Alejandro Duarte Aldana y Juan Camilo Fierro Esquivel</cp:lastModifiedBy>
  <cp:revision>1</cp:revision>
  <dcterms:created xsi:type="dcterms:W3CDTF">2026-10-07T19:30:20.089Z</dcterms:created>
  <dcterms:modified xsi:type="dcterms:W3CDTF">2026-10-07T19:30:20.089Z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