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color w:val="000000"/>
        </w:rPr>
        <w:t>Arquitectura de la Plataforma de Microhubs</w:t>
      </w:r>
    </w:p>
    <w:p>
      <w:pPr>
        <w:spacing w:after="120"/>
      </w:pPr>
      <w:r>
        <w:rPr>
          <w:color w:val="000000"/>
        </w:rPr>
        <w:t>Segundo Parcial · Codex Innovations · Equipo 04 · Versión 4.2</w:t>
      </w:r>
    </w:p>
    <w:p>
      <w:pPr>
        <w:spacing w:after="120"/>
      </w:pPr>
      <w:r>
        <w:rPr>
          <w:color w:val="000000"/>
        </w:rPr>
        <w:t>La plataforma combina el portal Flask, que funciona solo, con diez microservicios. Catálogos se dividió en Productos, Zonas y Microhubs, Seguimiento recibe el GPS y los avisos se quedan en PostgreSQL y en el portal.</w:t>
      </w:r>
    </w:p>
    <w:p>
      <w:pPr>
        <w:pStyle w:val="Heading1"/>
        <w:spacing w:after="120"/>
      </w:pPr>
      <w:r>
        <w:rPr>
          <w:color w:val="000000"/>
        </w:rPr>
        <w:t>Componentes y comunicación</w:t>
      </w:r>
    </w:p>
    <w:p>
      <w:pPr>
        <w:spacing w:after="120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6035040" cy="5258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ed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258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000000"/>
        </w:rPr>
        <w:t>El navegador usa la web :5000. Android, escritorio y Swagger consumen las APIs por HTTP con JWT. integracion.py reenvía el token del usuario y consulta los servicios. Las operaciones base del portal siguen disponibles cuando un servicio no responde.</w:t>
      </w:r>
    </w:p>
    <w:p>
      <w:pPr>
        <w:spacing w:after="120"/>
      </w:pPr>
      <w:r>
        <w:rPr>
          <w:color w:val="000000"/>
        </w:rPr>
        <w:br w:type="page"/>
      </w:r>
    </w:p>
    <w:p>
      <w:pPr>
        <w:pStyle w:val="Heading1"/>
        <w:spacing w:after="120"/>
      </w:pPr>
      <w:r>
        <w:rPr>
          <w:color w:val="000000"/>
        </w:rPr>
        <w:t>Servicios y puertos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</w:tcPr>
          <w:p>
            <w:r>
              <w:t>Servicio</w:t>
            </w:r>
          </w:p>
        </w:tc>
        <w:tc>
          <w:tcPr>
            <w:tcW w:type="dxa" w:w="936"/>
          </w:tcPr>
          <w:p>
            <w:r>
              <w:t>Puerto</w:t>
            </w:r>
          </w:p>
        </w:tc>
        <w:tc>
          <w:tcPr>
            <w:tcW w:type="dxa" w:w="7416"/>
          </w:tcPr>
          <w:p>
            <w:r>
              <w:t>Responsabilidad</w:t>
            </w:r>
          </w:p>
        </w:tc>
      </w:tr>
      <w:tr>
        <w:tc>
          <w:tcPr>
            <w:tcW w:type="dxa" w:w="1872"/>
          </w:tcPr>
          <w:p>
            <w:r>
              <w:t>Auth</w:t>
            </w:r>
          </w:p>
        </w:tc>
        <w:tc>
          <w:tcPr>
            <w:tcW w:type="dxa" w:w="936"/>
          </w:tcPr>
          <w:p>
            <w:r>
              <w:t>5101</w:t>
            </w:r>
          </w:p>
        </w:tc>
        <w:tc>
          <w:tcPr>
            <w:tcW w:type="dxa" w:w="7416"/>
          </w:tcPr>
          <w:p>
            <w:r>
              <w:t>Sesión común y tokens</w:t>
            </w:r>
          </w:p>
        </w:tc>
      </w:tr>
      <w:tr>
        <w:tc>
          <w:tcPr>
            <w:tcW w:type="dxa" w:w="1872"/>
          </w:tcPr>
          <w:p>
            <w:r>
              <w:t>Usuarios</w:t>
            </w:r>
          </w:p>
        </w:tc>
        <w:tc>
          <w:tcPr>
            <w:tcW w:type="dxa" w:w="936"/>
          </w:tcPr>
          <w:p>
            <w:r>
              <w:t>5102</w:t>
            </w:r>
          </w:p>
        </w:tc>
        <w:tc>
          <w:tcPr>
            <w:tcW w:type="dxa" w:w="7416"/>
          </w:tcPr>
          <w:p>
            <w:r>
              <w:t>Perfil y directorio</w:t>
            </w:r>
          </w:p>
        </w:tc>
      </w:tr>
      <w:tr>
        <w:tc>
          <w:tcPr>
            <w:tcW w:type="dxa" w:w="1872"/>
          </w:tcPr>
          <w:p>
            <w:r>
              <w:t>Productos</w:t>
            </w:r>
          </w:p>
        </w:tc>
        <w:tc>
          <w:tcPr>
            <w:tcW w:type="dxa" w:w="936"/>
          </w:tcPr>
          <w:p>
            <w:r>
              <w:t>5103</w:t>
            </w:r>
          </w:p>
        </w:tc>
        <w:tc>
          <w:tcPr>
            <w:tcW w:type="dxa" w:w="7416"/>
          </w:tcPr>
          <w:p>
            <w:r>
              <w:t>Catálogo comercial</w:t>
            </w:r>
          </w:p>
        </w:tc>
      </w:tr>
      <w:tr>
        <w:tc>
          <w:tcPr>
            <w:tcW w:type="dxa" w:w="1872"/>
          </w:tcPr>
          <w:p>
            <w:r>
              <w:t>Pedidos</w:t>
            </w:r>
          </w:p>
        </w:tc>
        <w:tc>
          <w:tcPr>
            <w:tcW w:type="dxa" w:w="936"/>
          </w:tcPr>
          <w:p>
            <w:r>
              <w:t>5104</w:t>
            </w:r>
          </w:p>
        </w:tc>
        <w:tc>
          <w:tcPr>
            <w:tcW w:type="dxa" w:w="7416"/>
          </w:tcPr>
          <w:p>
            <w:r>
              <w:t>Consulta, historial y estados</w:t>
            </w:r>
          </w:p>
        </w:tc>
      </w:tr>
      <w:tr>
        <w:tc>
          <w:tcPr>
            <w:tcW w:type="dxa" w:w="1872"/>
          </w:tcPr>
          <w:p>
            <w:r>
              <w:t>Entregas</w:t>
            </w:r>
          </w:p>
        </w:tc>
        <w:tc>
          <w:tcPr>
            <w:tcW w:type="dxa" w:w="936"/>
          </w:tcPr>
          <w:p>
            <w:r>
              <w:t>5105</w:t>
            </w:r>
          </w:p>
        </w:tc>
        <w:tc>
          <w:tcPr>
            <w:tcW w:type="dxa" w:w="7416"/>
          </w:tcPr>
          <w:p>
            <w:r>
              <w:t>Paradas y cierre idempotente</w:t>
            </w:r>
          </w:p>
        </w:tc>
      </w:tr>
      <w:tr>
        <w:tc>
          <w:tcPr>
            <w:tcW w:type="dxa" w:w="1872"/>
          </w:tcPr>
          <w:p>
            <w:r>
              <w:t>Planeación</w:t>
            </w:r>
          </w:p>
        </w:tc>
        <w:tc>
          <w:tcPr>
            <w:tcW w:type="dxa" w:w="936"/>
          </w:tcPr>
          <w:p>
            <w:r>
              <w:t>5106</w:t>
            </w:r>
          </w:p>
        </w:tc>
        <w:tc>
          <w:tcPr>
            <w:tcW w:type="dxa" w:w="7416"/>
          </w:tcPr>
          <w:p>
            <w:r>
              <w:t>Candidatos y simulaciones</w:t>
            </w:r>
          </w:p>
        </w:tc>
      </w:tr>
      <w:tr>
        <w:tc>
          <w:tcPr>
            <w:tcW w:type="dxa" w:w="1872"/>
          </w:tcPr>
          <w:p>
            <w:r>
              <w:t>Documentos</w:t>
            </w:r>
          </w:p>
        </w:tc>
        <w:tc>
          <w:tcPr>
            <w:tcW w:type="dxa" w:w="936"/>
          </w:tcPr>
          <w:p>
            <w:r>
              <w:t>5107</w:t>
            </w:r>
          </w:p>
        </w:tc>
        <w:tc>
          <w:tcPr>
            <w:tcW w:type="dxa" w:w="7416"/>
          </w:tcPr>
          <w:p>
            <w:r>
              <w:t>Archivos y evidencias</w:t>
            </w:r>
          </w:p>
        </w:tc>
      </w:tr>
      <w:tr>
        <w:tc>
          <w:tcPr>
            <w:tcW w:type="dxa" w:w="1872"/>
          </w:tcPr>
          <w:p>
            <w:r>
              <w:t>Zonas</w:t>
            </w:r>
          </w:p>
        </w:tc>
        <w:tc>
          <w:tcPr>
            <w:tcW w:type="dxa" w:w="936"/>
          </w:tcPr>
          <w:p>
            <w:r>
              <w:t>5108</w:t>
            </w:r>
          </w:p>
        </w:tc>
        <w:tc>
          <w:tcPr>
            <w:tcW w:type="dxa" w:w="7416"/>
          </w:tcPr>
          <w:p>
            <w:r>
              <w:t>Colonias y cobertura</w:t>
            </w:r>
          </w:p>
        </w:tc>
      </w:tr>
      <w:tr>
        <w:tc>
          <w:tcPr>
            <w:tcW w:type="dxa" w:w="1872"/>
          </w:tcPr>
          <w:p>
            <w:r>
              <w:t>Microhubs</w:t>
            </w:r>
          </w:p>
        </w:tc>
        <w:tc>
          <w:tcPr>
            <w:tcW w:type="dxa" w:w="936"/>
          </w:tcPr>
          <w:p>
            <w:r>
              <w:t>5109</w:t>
            </w:r>
          </w:p>
        </w:tc>
        <w:tc>
          <w:tcPr>
            <w:tcW w:type="dxa" w:w="7416"/>
          </w:tcPr>
          <w:p>
            <w:r>
              <w:t>Red de puntos de operación</w:t>
            </w:r>
          </w:p>
        </w:tc>
      </w:tr>
      <w:tr>
        <w:tc>
          <w:tcPr>
            <w:tcW w:type="dxa" w:w="1872"/>
          </w:tcPr>
          <w:p>
            <w:r>
              <w:t>Seguimiento</w:t>
            </w:r>
          </w:p>
        </w:tc>
        <w:tc>
          <w:tcPr>
            <w:tcW w:type="dxa" w:w="936"/>
          </w:tcPr>
          <w:p>
            <w:r>
              <w:t>5110</w:t>
            </w:r>
          </w:p>
        </w:tc>
        <w:tc>
          <w:tcPr>
            <w:tcW w:type="dxa" w:w="7416"/>
          </w:tcPr>
          <w:p>
            <w:r>
              <w:t>Ubicaciones GPS y recorrido</w:t>
            </w:r>
          </w:p>
        </w:tc>
      </w:tr>
    </w:tbl>
    <w:p>
      <w:pPr>
        <w:pStyle w:val="Heading1"/>
        <w:spacing w:after="120"/>
      </w:pPr>
      <w:r>
        <w:rPr>
          <w:color w:val="000000"/>
        </w:rPr>
        <w:t>Datos y sesión común</w:t>
      </w:r>
    </w:p>
    <w:p>
      <w:pPr>
        <w:spacing w:after="120"/>
      </w:pPr>
      <w:r>
        <w:rPr>
          <w:color w:val="000000"/>
        </w:rPr>
        <w:t>PostgreSQL conserva pedidos, inventario, entregas, reglas, auditoría y avisos. MongoDB guarda documentos, puntos GPS, simulaciones y registros técnicos. Redis valida sesiones y revocación, además de mantener caché y límites temporales. Los servicios comparten almacenes; no se comunican directamente entre sí.</w:t>
      </w:r>
    </w:p>
    <w:p>
      <w:pPr>
        <w:spacing w:after="120"/>
      </w:pPr>
      <w:r>
        <w:rPr>
          <w:color w:val="000000"/>
        </w:rPr>
        <w:t>El recorrido usa POST /api/v1/seguimiento/{id}/ubicaciones y GET /api/v1/seguimiento/{id}/recorrido en :5110. El cierre conserva POST /api/v1/entregas/{id}/resultado en :5105. Documentos almacena los archivos en :5107. Los triggers crean avisos en web_notificacion y el portal los muestra.</w:t>
      </w:r>
    </w:p>
    <w:p>
      <w:pPr>
        <w:pStyle w:val="Heading1"/>
        <w:spacing w:after="120"/>
      </w:pPr>
      <w:r>
        <w:rPr>
          <w:color w:val="000000"/>
        </w:rPr>
        <w:t>Despliegue y persistencia</w:t>
      </w:r>
    </w:p>
    <w:p>
      <w:pPr>
        <w:spacing w:after="120"/>
      </w:pPr>
      <w:r>
        <w:rPr>
          <w:color w:val="000000"/>
        </w:rPr>
        <w:t>Compose define 15 contenedores: diez servicios, web, PostgreSQL, MongoDB, Redis y migraciones. Catorce permanecen en ejecución; migraciones termina con código 0. Las bases no publican puertos. datos_pg y datos_mongo persisten con down; Redis no tiene persistencia. La política noeviction corresponde a toda la instancia Redis.</w:t>
      </w:r>
    </w:p>
    <w:p>
      <w:pPr>
        <w:pStyle w:val="Heading1"/>
        <w:spacing w:after="120"/>
      </w:pPr>
      <w:r>
        <w:rPr>
          <w:color w:val="000000"/>
        </w:rPr>
        <w:t>Verificación y límites</w:t>
      </w:r>
    </w:p>
    <w:p>
      <w:pPr>
        <w:spacing w:after="120"/>
      </w:pPr>
      <w:r>
        <w:rPr>
          <w:color w:val="000000"/>
        </w:rPr>
        <w:t>El inventario del código tiene 45 operaciones método-ruta, sin contar la salud ni la documentación. La evidencia registra 93 casos aprobados y 3 complementarios; las capturas del tablero y de docker compose ps -a son del despliegue actual.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