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dd9x8q9wnj" w:id="0"/>
      <w:bookmarkEnd w:id="0"/>
      <w:r w:rsidDel="00000000" w:rsidR="00000000" w:rsidRPr="00000000">
        <w:rPr>
          <w:rtl w:val="0"/>
        </w:rPr>
        <w:t xml:space="preserve">Relatório de Marketing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7j6a9g52z2se" w:id="1"/>
      <w:bookmarkEnd w:id="1"/>
      <w:r w:rsidDel="00000000" w:rsidR="00000000" w:rsidRPr="00000000">
        <w:rPr>
          <w:rtl w:val="0"/>
        </w:rPr>
        <w:t xml:space="preserve">Autor: Mauro César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dujpf808xaj" w:id="2"/>
      <w:bookmarkEnd w:id="2"/>
      <w:r w:rsidDel="00000000" w:rsidR="00000000" w:rsidRPr="00000000">
        <w:rPr>
          <w:rtl w:val="0"/>
        </w:rPr>
        <w:t xml:space="preserve">TLDR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CAC médio foi de $2.4 por trial e de $6.8 por payment</w:t>
      </w:r>
      <w:r w:rsidDel="00000000" w:rsidR="00000000" w:rsidRPr="00000000">
        <w:rPr>
          <w:rtl w:val="0"/>
        </w:rPr>
        <w:t xml:space="preserve">, com Facebook tendo o CAC por payment de $187, o mais caro entre as sources e a menor taxa de conversão de payment / trial de apenas 2.2%, tendo um custo total de $56K, o que representa 38% do orçamento total.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investimento de mída deve ser rebalenceado,</w:t>
      </w:r>
      <w:r w:rsidDel="00000000" w:rsidR="00000000" w:rsidRPr="00000000">
        <w:rPr>
          <w:b w:val="1"/>
          <w:rtl w:val="0"/>
        </w:rPr>
        <w:t xml:space="preserve"> focando nos canais "Google Non Branded" e "Partners",</w:t>
      </w:r>
      <w:r w:rsidDel="00000000" w:rsidR="00000000" w:rsidRPr="00000000">
        <w:rPr>
          <w:rtl w:val="0"/>
        </w:rPr>
        <w:t xml:space="preserve"> principalmente para clientes que estejam usando o dispotivo "Desktop", pois este possui conversão 3 vezes maior que "mobile".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wgdjg3mcr8z" w:id="3"/>
      <w:bookmarkEnd w:id="3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 investimento de mídia dos últimos 20 meses foram distribuídos em 4 principais sources: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Facebook Campaigns</w:t>
      </w:r>
      <w:r w:rsidDel="00000000" w:rsidR="00000000" w:rsidRPr="00000000">
        <w:rPr>
          <w:rtl w:val="0"/>
        </w:rPr>
        <w:t xml:space="preserve">: campanhas do Facebook.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Google Adwords </w:t>
      </w:r>
      <w:r w:rsidDel="00000000" w:rsidR="00000000" w:rsidRPr="00000000">
        <w:rPr>
          <w:b w:val="1"/>
          <w:rtl w:val="0"/>
        </w:rPr>
        <w:t xml:space="preserve">Brand campaigns</w:t>
      </w:r>
      <w:r w:rsidDel="00000000" w:rsidR="00000000" w:rsidRPr="00000000">
        <w:rPr>
          <w:rtl w:val="0"/>
        </w:rPr>
        <w:t xml:space="preserve">: campanhas do Google da marca (pessoas pesquisando </w:t>
      </w:r>
      <w:r w:rsidDel="00000000" w:rsidR="00000000" w:rsidRPr="00000000">
        <w:rPr>
          <w:rtl w:val="0"/>
        </w:rPr>
        <w:t xml:space="preserve">“nuvemshop”</w:t>
      </w:r>
      <w:r w:rsidDel="00000000" w:rsidR="00000000" w:rsidRPr="00000000">
        <w:rPr>
          <w:rtl w:val="0"/>
        </w:rPr>
        <w:t xml:space="preserve"> no Google).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Google Adwords</w:t>
      </w:r>
      <w:r w:rsidDel="00000000" w:rsidR="00000000" w:rsidRPr="00000000">
        <w:rPr>
          <w:b w:val="1"/>
          <w:rtl w:val="0"/>
        </w:rPr>
        <w:t xml:space="preserve"> Non Brand campaigns</w:t>
      </w:r>
      <w:r w:rsidDel="00000000" w:rsidR="00000000" w:rsidRPr="00000000">
        <w:rPr>
          <w:rtl w:val="0"/>
        </w:rPr>
        <w:t xml:space="preserve">: campanhas do Google que pesquisam outras keywords (não </w:t>
      </w:r>
      <w:r w:rsidDel="00000000" w:rsidR="00000000" w:rsidRPr="00000000">
        <w:rPr>
          <w:rtl w:val="0"/>
        </w:rPr>
        <w:t xml:space="preserve">nuvemshop).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Partners</w:t>
      </w:r>
      <w:r w:rsidDel="00000000" w:rsidR="00000000" w:rsidRPr="00000000">
        <w:rPr>
          <w:rtl w:val="0"/>
        </w:rPr>
        <w:t xml:space="preserve">: trabalho com agências de Marketing que trazem </w:t>
      </w:r>
      <w:r w:rsidDel="00000000" w:rsidR="00000000" w:rsidRPr="00000000">
        <w:rPr>
          <w:rtl w:val="0"/>
        </w:rPr>
        <w:t xml:space="preserve">trials.</w:t>
      </w:r>
      <w:r w:rsidDel="00000000" w:rsidR="00000000" w:rsidRPr="00000000">
        <w:rPr>
          <w:rtl w:val="0"/>
        </w:rPr>
        <w:t xml:space="preserve"> O pagamento para eles é por </w:t>
      </w:r>
      <w:r w:rsidDel="00000000" w:rsidR="00000000" w:rsidRPr="00000000">
        <w:rPr>
          <w:rtl w:val="0"/>
        </w:rPr>
        <w:t xml:space="preserve">payment,</w:t>
      </w:r>
      <w:r w:rsidDel="00000000" w:rsidR="00000000" w:rsidRPr="00000000">
        <w:rPr>
          <w:rtl w:val="0"/>
        </w:rPr>
        <w:t xml:space="preserve"> não por trial.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Os trials que registrados vieram com uma probabilidade de pagamento, que foi usado como proxy para calcular o número real de payments.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Além disso, foram atribuídas a dois tipos diferentes de dispositivo de criação da loja (Mobile ou Desktop).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m01mrzd6trb" w:id="4"/>
      <w:bookmarkEnd w:id="4"/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é o source com o maior custo de acquisição por pagamnto, com um CAC de $ 186.6 vs a média de $6.8.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investir mais nas campanhas de Google Non Branded e Partners visto que eles possuem o menor CAC.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campanha de Google Branded possui o menor CAC de todos, contudo a canibalização do orgânico é geralmente alta nesse tipo de campanha e já representa 17.6% do orçamento para o período.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515"/>
        <w:gridCol w:w="1125"/>
        <w:gridCol w:w="1860"/>
        <w:gridCol w:w="1290"/>
        <w:gridCol w:w="1965"/>
        <w:tblGridChange w:id="0">
          <w:tblGrid>
            <w:gridCol w:w="1320"/>
            <w:gridCol w:w="1320"/>
            <w:gridCol w:w="1515"/>
            <w:gridCol w:w="1125"/>
            <w:gridCol w:w="1860"/>
            <w:gridCol w:w="129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Source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Trials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Pagamentos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Custo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Pagamento [%]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CAC Trial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CAC Pagamento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13.6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$ 56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$ 186.6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Branded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25.9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11.2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$ 26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$ 2.3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Non Branded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10.7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$ 47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$ 4.4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$ 10.2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12.2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5.6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$ 19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$ 3.4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62.4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21.7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$ 148 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$ 2.4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$6.8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 conversão de clientes que vieram por meio do dispositivo "Desktop" é 3x maior que "mobile" (50% vs 12%) e por isso devemos direcionar o orçamento para esse público. Além disso, essa tendência é presente em todas as quebras de sources disponíveis.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4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085"/>
        <w:gridCol w:w="2010"/>
        <w:gridCol w:w="2010"/>
        <w:tblGridChange w:id="0">
          <w:tblGrid>
            <w:gridCol w:w="1320"/>
            <w:gridCol w:w="2085"/>
            <w:gridCol w:w="201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Source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Conversão Todos Dispositivos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Conversão Mobile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Conversão Desktop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Branded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54%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Non Branded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44%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56%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50%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8amo3doryywb" w:id="5"/>
      <w:bookmarkEnd w:id="5"/>
      <w:r w:rsidDel="00000000" w:rsidR="00000000" w:rsidRPr="00000000">
        <w:rPr>
          <w:rtl w:val="0"/>
        </w:rPr>
        <w:t xml:space="preserve">Próximos Passos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Nova distribuição do orçamento priorizando Partners e Google Non Branded</w:t>
      </w:r>
      <w:r w:rsidDel="00000000" w:rsidR="00000000" w:rsidRPr="00000000">
        <w:rPr>
          <w:rtl w:val="0"/>
        </w:rPr>
        <w:t xml:space="preserve"> em detrimento do Facebook enquanto ele não apresenta resultados satisfatórios em termos de acquisição.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Focar em anúncios para Desktop.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 uma nova abordagem ao facebook com mudança de público alvo e proposta de valor menor para reavaliar a eficácia da plataforma em conversão.17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gk6vcgnxl3b" w:id="6"/>
      <w:bookmarkEnd w:id="6"/>
      <w:r w:rsidDel="00000000" w:rsidR="00000000" w:rsidRPr="00000000">
        <w:rPr>
          <w:rtl w:val="0"/>
        </w:rPr>
        <w:t xml:space="preserve">Fora do escopo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Analisar a viabilidade de testes de incrementalidade.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Mensurar impacto das mídias na acquisição atribuída ao orgânico e impacto de branding.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akqt1br11t8v" w:id="7"/>
      <w:bookmarkEnd w:id="7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pdsdzr5ue715" w:id="8"/>
      <w:bookmarkEnd w:id="8"/>
      <w:r w:rsidDel="00000000" w:rsidR="00000000" w:rsidRPr="00000000">
        <w:rPr>
          <w:rtl w:val="0"/>
        </w:rPr>
        <w:t xml:space="preserve">Principais suposições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Trials = soma da proabilidade de pagamento de cada cliente.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atribuição é uma forma justa de atribuir impacto de cada source.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custo por trial de "mobile" e "Desktop" são os mesmos.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campanhas estão associadas ao objetivo de conversão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fcikgoeohuw4" w:id="9"/>
      <w:bookmarkEnd w:id="9"/>
      <w:r w:rsidDel="00000000" w:rsidR="00000000" w:rsidRPr="00000000">
        <w:rPr>
          <w:rtl w:val="0"/>
        </w:rPr>
        <w:t xml:space="preserve">Branded Search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palavra "NuvemShop" é um nome distinto dos principais termos de pesquisa e não aparece estar sendo comprado pelos concorrentes (verificar no geranciador de anúncio) por isso o impacto de canibalização é provavelmente extremamente e não devemos aumentar os recursos para essa estratégia mesmo que o CAC seja o menor.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sm2fleqcdsb7" w:id="10"/>
      <w:bookmarkEnd w:id="10"/>
      <w:r w:rsidDel="00000000" w:rsidR="00000000" w:rsidRPr="00000000">
        <w:rPr>
          <w:rtl w:val="0"/>
        </w:rPr>
        <w:t xml:space="preserve">Clientes pagantes por mês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canal mais relevant em termos de trazer novos clientes é o Google Branded Search, o que reflete o reconhecimento da marca crescente ao passar dos meses.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4014788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