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0312" w14:textId="44047766" w:rsidR="0054713B" w:rsidRPr="005119A7" w:rsidRDefault="005119A7" w:rsidP="005119A7">
      <w:pPr>
        <w:pStyle w:val="Textosinformato"/>
        <w:jc w:val="center"/>
        <w:rPr>
          <w:rFonts w:ascii="Times New Roman" w:hAnsi="Times New Roman" w:cs="Times New Roman"/>
          <w:b/>
          <w:bCs/>
          <w:sz w:val="32"/>
          <w:lang w:val="es-AR"/>
        </w:rPr>
      </w:pPr>
      <w:r w:rsidRPr="005119A7">
        <w:rPr>
          <w:rFonts w:ascii="Times New Roman" w:hAnsi="Times New Roman" w:cs="Times New Roman"/>
          <w:b/>
          <w:bCs/>
          <w:sz w:val="32"/>
          <w:lang w:val="es-AR"/>
        </w:rPr>
        <w:t>NUBE ACADÉMICA PRÁCTICA (NAP): PROTOTIPO DE NUBE PRIVADA E INFRAESTRUCTURA TECNOLÓGICO-PEDAGÓGICA PARA EL APRENDIZAJE ACTIVO EN LA UTN-FRT</w:t>
      </w:r>
    </w:p>
    <w:p w14:paraId="2A4E155E" w14:textId="77777777" w:rsidR="00D23152" w:rsidRDefault="00D23152" w:rsidP="00D23152">
      <w:pPr>
        <w:pStyle w:val="Address"/>
        <w:rPr>
          <w:b/>
          <w:lang w:val="es-ES"/>
        </w:rPr>
      </w:pPr>
    </w:p>
    <w:p w14:paraId="53BAE4F1" w14:textId="77777777" w:rsidR="0054713B" w:rsidRPr="00440FCA" w:rsidRDefault="0054713B" w:rsidP="002C6DDC">
      <w:pPr>
        <w:pStyle w:val="EstiloTextosinformatoTimesNewRomanJustificado"/>
        <w:rPr>
          <w:lang w:val="es-ES"/>
        </w:rPr>
      </w:pPr>
    </w:p>
    <w:p w14:paraId="43EDC4A5" w14:textId="77777777" w:rsidR="00647836" w:rsidRDefault="00647836" w:rsidP="0054713B">
      <w:pPr>
        <w:pStyle w:val="Textosinformato"/>
        <w:jc w:val="both"/>
        <w:rPr>
          <w:rFonts w:ascii="Times New Roman" w:hAnsi="Times New Roman" w:cs="Times New Roman"/>
          <w:b/>
          <w:bCs/>
          <w:lang w:val="es-ES"/>
        </w:rPr>
        <w:sectPr w:rsidR="00647836" w:rsidSect="00CC785E">
          <w:pgSz w:w="11907" w:h="16840" w:code="9"/>
          <w:pgMar w:top="1418" w:right="1418" w:bottom="1418" w:left="1418" w:header="0" w:footer="0" w:gutter="0"/>
          <w:cols w:space="720"/>
          <w:docGrid w:linePitch="360"/>
        </w:sectPr>
      </w:pPr>
    </w:p>
    <w:p w14:paraId="139DD8A4" w14:textId="004CF3F6" w:rsidR="0054713B" w:rsidRPr="001228C8" w:rsidRDefault="008F1C72" w:rsidP="0054713B">
      <w:pPr>
        <w:pStyle w:val="Textosinformato"/>
        <w:jc w:val="both"/>
        <w:rPr>
          <w:rFonts w:ascii="Times New Roman" w:hAnsi="Times New Roman" w:cs="Times New Roman"/>
          <w:b/>
          <w:bCs/>
        </w:rPr>
      </w:pPr>
      <w:r w:rsidRPr="001228C8">
        <w:rPr>
          <w:rFonts w:ascii="Times New Roman" w:hAnsi="Times New Roman" w:cs="Times New Roman"/>
          <w:b/>
          <w:bCs/>
        </w:rPr>
        <w:t>Abstract</w:t>
      </w:r>
    </w:p>
    <w:p w14:paraId="5E11B51E" w14:textId="77777777" w:rsidR="005119A7" w:rsidRPr="005119A7" w:rsidRDefault="005119A7" w:rsidP="005119A7">
      <w:pPr>
        <w:pStyle w:val="Address"/>
        <w:jc w:val="both"/>
        <w:rPr>
          <w:sz w:val="20"/>
          <w:lang w:val="es-ES"/>
        </w:rPr>
      </w:pPr>
      <w:r w:rsidRPr="005119A7">
        <w:rPr>
          <w:sz w:val="20"/>
          <w:lang w:val="es-ES"/>
        </w:rPr>
        <w:t>La implementación de una Nube Académica Práctica (NAP) en el Departamento de Ingeniería en Sistemas de Información de la UTN-FRT aborda la fragmentación histórica de recursos computacionales y la dependencia de laboratorios físicos mediante una infraestructura centralizada y elástica basada en software libre. Utilizando el marco de referencia del NIST (SP 800-145) y la metodología Design Science Research (DSR) en siete fases, este trabajo expone el diseño, despliegue y evaluación de una nube privada sobre Proxmox VE con arquitectura de clúster de alta disponibilidad (HA), almacenamiento NAS dedicado, redes definidas por software (SDN) y segmentación por VLANs. La NAP opera bajo modelos de servicio SaaS, PaaS e IaaS, articulando las actividades prácticas con los cuatro pilares educativos de la UNESCO y los Objetivos de Desarrollo Sostenible (ODS 4, 9 y 10). Se presenta evidencia de validación técnica con la ejecución simultánea de 165 contenedores LXC en un nodo de 8 GB de RAM, demostrando viabilidad operativa bajo restricciones severas de hardware y garantizando equidad tecnológica y soberanía digital institucional.</w:t>
      </w:r>
    </w:p>
    <w:p w14:paraId="1B50224F" w14:textId="77777777" w:rsidR="00D42F68" w:rsidRPr="00440FCA" w:rsidRDefault="00D42F68" w:rsidP="007C0F6B">
      <w:pPr>
        <w:pStyle w:val="EstiloTextosinformatoTimesNewRomanCursivaJustificado"/>
        <w:rPr>
          <w:lang w:val="es-ES"/>
        </w:rPr>
      </w:pPr>
    </w:p>
    <w:p w14:paraId="6C40E020" w14:textId="797CBE9D" w:rsidR="0054713B" w:rsidRPr="00440FCA" w:rsidRDefault="0054713B" w:rsidP="0054713B">
      <w:pPr>
        <w:pStyle w:val="Textosinformato"/>
        <w:jc w:val="both"/>
        <w:rPr>
          <w:rFonts w:ascii="Times New Roman" w:hAnsi="Times New Roman" w:cs="Times New Roman"/>
          <w:b/>
          <w:bCs/>
          <w:lang w:val="es-ES"/>
        </w:rPr>
      </w:pPr>
      <w:r w:rsidRPr="00440FCA">
        <w:rPr>
          <w:rFonts w:ascii="Times New Roman" w:hAnsi="Times New Roman" w:cs="Times New Roman"/>
          <w:b/>
          <w:bCs/>
          <w:lang w:val="es-ES"/>
        </w:rPr>
        <w:t>Palabras Clave</w:t>
      </w:r>
    </w:p>
    <w:p w14:paraId="0FE32B02" w14:textId="1D6BD3A3" w:rsidR="0054713B" w:rsidRPr="00440FCA" w:rsidRDefault="005119A7" w:rsidP="002C6DDC">
      <w:pPr>
        <w:pStyle w:val="EstiloTextosinformatoTimesNewRomanJustificado"/>
        <w:rPr>
          <w:lang w:val="es-ES"/>
        </w:rPr>
      </w:pPr>
      <w:r>
        <w:rPr>
          <w:lang w:val="es-ES"/>
        </w:rPr>
        <w:t>N</w:t>
      </w:r>
      <w:r w:rsidRPr="005119A7">
        <w:rPr>
          <w:lang w:val="es-ES"/>
        </w:rPr>
        <w:t>ube académica práctica; computación en la nube; virtualización; aprendizaje activo; Design Science Research; soberanía digital; contenedores; escritorios virtuales.</w:t>
      </w:r>
    </w:p>
    <w:p w14:paraId="18F5971D" w14:textId="77777777" w:rsidR="0054713B" w:rsidRPr="00440FCA" w:rsidRDefault="0054713B" w:rsidP="002C6DDC">
      <w:pPr>
        <w:pStyle w:val="EstiloTextosinformatoTimesNewRomanJustificado"/>
        <w:rPr>
          <w:lang w:val="es-ES"/>
        </w:rPr>
      </w:pPr>
    </w:p>
    <w:p w14:paraId="7DC4F6A6" w14:textId="77777777" w:rsidR="0071129C" w:rsidRPr="0071129C" w:rsidRDefault="0071129C" w:rsidP="0071129C">
      <w:pPr>
        <w:spacing w:before="240" w:after="160"/>
        <w:jc w:val="center"/>
        <w:rPr>
          <w:lang w:val="es-AR"/>
        </w:rPr>
      </w:pPr>
      <w:r w:rsidRPr="0071129C">
        <w:rPr>
          <w:b/>
          <w:bCs/>
          <w:lang w:val="es-AR"/>
        </w:rPr>
        <w:t>I. INTRODUCCIÓN Y MARCO DEL PROBLEMA</w:t>
      </w:r>
    </w:p>
    <w:p w14:paraId="08372B8E" w14:textId="77777777" w:rsidR="0071129C" w:rsidRPr="0071129C" w:rsidRDefault="0071129C" w:rsidP="0071129C">
      <w:pPr>
        <w:spacing w:after="120" w:line="252" w:lineRule="auto"/>
        <w:jc w:val="both"/>
        <w:rPr>
          <w:lang w:val="es-AR"/>
        </w:rPr>
      </w:pPr>
      <w:r w:rsidRPr="0071129C">
        <w:rPr>
          <w:lang w:val="es-AR"/>
        </w:rPr>
        <w:t xml:space="preserve">El Departamento de Ingeniería en Sistemas de Información concentra una gran diversidad de cátedras que requieren, de manera recurrente, recursos de cómputo para prácticas de laboratorio, entornos de desarrollo, servidores de bases de datos y plataformas de virtualización. En la actualidad dichos recursos se encuentran fragmentados: cada cátedra resuelve sus necesidades de forma independiente, sobre equipamiento heterogéneo, con baja tasa de utilización y sin políticas comunes de </w:t>
      </w:r>
      <w:r w:rsidRPr="0071129C">
        <w:rPr>
          <w:lang w:val="es-AR"/>
        </w:rPr>
        <w:t>disponibilidad, respaldo o seguridad. Este esquema conduce a una duplicación de esfuerzos y a un aprovechamiento subóptimo de la infraestructura disponible.</w:t>
      </w:r>
    </w:p>
    <w:p w14:paraId="478E93C4" w14:textId="77777777" w:rsidR="0071129C" w:rsidRPr="0071129C" w:rsidRDefault="0071129C" w:rsidP="0071129C">
      <w:pPr>
        <w:spacing w:after="120" w:line="252" w:lineRule="auto"/>
        <w:jc w:val="both"/>
        <w:rPr>
          <w:lang w:val="es-AR"/>
        </w:rPr>
      </w:pPr>
      <w:r w:rsidRPr="0071129C">
        <w:rPr>
          <w:lang w:val="es-AR"/>
        </w:rPr>
        <w:t>A esta problemática técnica se suma una dimensión pedagógica: la dependencia de laboratorios físicos y la desigualdad en el acceso a recursos computacionales condicionan las tareas prácticas de los estudiantes según su equipamiento personal, restringiendo un aprendizaje activo, práctico y centrado en el estudiante. El problema que se aborda es, por lo tanto, doble: la ausencia de una plataforma común que centralice y optimice los recursos de cómputo del Departamento, y la necesidad de garantizar a todos los estudiantes una base tecnológica equitativa para su formación.</w:t>
      </w:r>
    </w:p>
    <w:p w14:paraId="43C7B459" w14:textId="77777777" w:rsidR="0071129C" w:rsidRPr="0071129C" w:rsidRDefault="0071129C" w:rsidP="0071129C">
      <w:pPr>
        <w:spacing w:after="120" w:line="252" w:lineRule="auto"/>
        <w:jc w:val="both"/>
        <w:rPr>
          <w:lang w:val="es-AR"/>
        </w:rPr>
      </w:pPr>
      <w:r w:rsidRPr="0071129C">
        <w:rPr>
          <w:lang w:val="es-AR"/>
        </w:rPr>
        <w:t>Se propone, en consecuencia, la construcción de una Nube Académica Práctica (NAP): un prototipo de nube privada institucional que, mediante infraestructura de virtualización propia de la Facultad, integre a más de veinte cátedras y a su cuerpo docente en un entorno compartido, en el que cada una disponga de un espacio aislado y autogestionable, mientras la administración conserva el control global. La utilidad esperada es doble: elevar la tasa de utilización del hardware y homogeneizar las políticas de operación, al tiempo que se sostiene un modelo de aprendizaje activo que reduce la dependencia de laboratorios físicos.</w:t>
      </w:r>
    </w:p>
    <w:p w14:paraId="5F5E949E" w14:textId="77777777" w:rsidR="0071129C" w:rsidRPr="0071129C" w:rsidRDefault="0071129C" w:rsidP="0071129C">
      <w:pPr>
        <w:spacing w:after="120" w:line="252" w:lineRule="auto"/>
        <w:jc w:val="both"/>
        <w:rPr>
          <w:lang w:val="es-AR"/>
        </w:rPr>
      </w:pPr>
      <w:r w:rsidRPr="0071129C">
        <w:rPr>
          <w:lang w:val="es-AR"/>
        </w:rPr>
        <w:t xml:space="preserve">El proyecto se alinea con los Objetivos de Desarrollo Sostenible (ODS): contribuye a una educación de calidad (ODS 4) mediante una plataforma orientada a la misión educativa y a la creación de contenidos; a la reducción de las desigualdades (ODS 10), al </w:t>
      </w:r>
      <w:r w:rsidRPr="0071129C">
        <w:rPr>
          <w:lang w:val="es-AR"/>
        </w:rPr>
        <w:lastRenderedPageBreak/>
        <w:t>democratizar el acceso a la tecnología con independencia del equipamiento personal de cada estudiante; y a la industria, la innovación y la infraestructura (ODS 9), al dotar al Departamento de un recurso estratégico. Asimismo, los resultados se organizan en función de los cuatro pilares del modelo de "Nube Social" promovido por la UNESCO: aprender a conocer, mediante acceso ubicuo a contenidos y repositorios institucionales; aprender a ser, mediante autonomía y autodisciplina a través de formación a distancia; aprender a vivir juntos, mediante competencias interculturales y trabajo colaborativo en redes globales; y aprender a hacer, mediante prácticas de ingeniería con control remoto sobre infraestructura real, gestionada por modelos automatizados y elásticos.</w:t>
      </w:r>
    </w:p>
    <w:p w14:paraId="4A786CE1" w14:textId="77777777" w:rsidR="0071129C" w:rsidRPr="0071129C" w:rsidRDefault="0071129C" w:rsidP="0071129C">
      <w:pPr>
        <w:spacing w:after="120" w:line="252" w:lineRule="auto"/>
        <w:jc w:val="both"/>
        <w:rPr>
          <w:lang w:val="es-AR"/>
        </w:rPr>
      </w:pPr>
      <w:r w:rsidRPr="0071129C">
        <w:rPr>
          <w:lang w:val="es-AR"/>
        </w:rPr>
        <w:t>El trabajo se organiza como un esfuerzo de equipo con responsabilidades diferenciadas: una capa de infraestructura y virtualización, una capa de almacenamiento y respaldo, una capa de software de orquestación y una capa pedagógica responsable del diseño de los entornos virtuales de práctica. El resto del artículo se estructura de la siguiente manera: la Sección II presenta el estado del arte y el marco teórico; la Sección III describe la arquitectura técnica propuesta; la Sección IV detalla la metodología de investigación; la Sección V analiza el impacto y la transferencia esperados; la Sección VI expone la validación y los resultados preliminares; y, finalmente, se presentan las conclusiones y los trabajos futuros.</w:t>
      </w:r>
    </w:p>
    <w:p w14:paraId="08F5DAC5" w14:textId="77777777" w:rsidR="0071129C" w:rsidRPr="0071129C" w:rsidRDefault="0071129C" w:rsidP="0071129C">
      <w:pPr>
        <w:spacing w:before="240" w:after="160"/>
        <w:jc w:val="center"/>
        <w:rPr>
          <w:lang w:val="es-AR"/>
        </w:rPr>
      </w:pPr>
      <w:r w:rsidRPr="0071129C">
        <w:rPr>
          <w:b/>
          <w:bCs/>
          <w:lang w:val="es-AR"/>
        </w:rPr>
        <w:t>II. ESTADO DEL ARTE Y MARCO TEÓRICO</w:t>
      </w:r>
    </w:p>
    <w:p w14:paraId="5AD661AD" w14:textId="77777777" w:rsidR="0071129C" w:rsidRPr="0071129C" w:rsidRDefault="0071129C" w:rsidP="0071129C">
      <w:pPr>
        <w:spacing w:before="160" w:after="100"/>
        <w:rPr>
          <w:lang w:val="es-AR"/>
        </w:rPr>
      </w:pPr>
      <w:r w:rsidRPr="0071129C">
        <w:rPr>
          <w:b/>
          <w:bCs/>
          <w:i/>
          <w:iCs/>
          <w:lang w:val="es-AR"/>
        </w:rPr>
        <w:t>A. Modelo de referencia NIST y capas de servicio</w:t>
      </w:r>
    </w:p>
    <w:p w14:paraId="6D6E06D5" w14:textId="77777777" w:rsidR="0071129C" w:rsidRPr="0071129C" w:rsidRDefault="0071129C" w:rsidP="0071129C">
      <w:pPr>
        <w:spacing w:after="120" w:line="252" w:lineRule="auto"/>
        <w:jc w:val="both"/>
        <w:rPr>
          <w:lang w:val="es-AR"/>
        </w:rPr>
      </w:pPr>
      <w:r w:rsidRPr="0071129C">
        <w:rPr>
          <w:lang w:val="es-AR"/>
        </w:rPr>
        <w:t xml:space="preserve">Para dotar al prototipo de un marco conceptual sólido y ampliamente aceptado, se adopta el modelo de referencia de Cloud Computing del National Institute of Standards and Technology (NIST), publicado en la Special Publication 800-145 </w:t>
      </w:r>
      <w:r w:rsidRPr="0071129C">
        <w:rPr>
          <w:lang w:val="es-AR"/>
        </w:rPr>
        <w:t>[1]. Dicho marco define la computación en la nube a partir de cinco características esenciales —autoservicio bajo demanda, amplio acceso a la red, agrupamiento de recursos, elasticidad rápida y servicio medido— y establece tres modelos de servicio y cuatro modelos de despliegue [2]. La NAP se encuadra en el modelo de despliegue de nube privada, con posibilidad de evolucionar hacia un esquema de nube comunitaria entre cátedras.</w:t>
      </w:r>
    </w:p>
    <w:p w14:paraId="3109032E" w14:textId="77777777" w:rsidR="0071129C" w:rsidRPr="0071129C" w:rsidRDefault="0071129C" w:rsidP="0071129C">
      <w:pPr>
        <w:spacing w:after="120" w:line="252" w:lineRule="auto"/>
        <w:jc w:val="both"/>
        <w:rPr>
          <w:lang w:val="es-AR"/>
        </w:rPr>
      </w:pPr>
      <w:r w:rsidRPr="0071129C">
        <w:rPr>
          <w:lang w:val="es-AR"/>
        </w:rPr>
        <w:t>Los tres niveles de servicio se articulan, además, con los objetivos del aprendizaje efectivo. El nivel SaaS resulta idóneo para el aprendizaje de programación fundamental, analítica de datos y herramientas de colaboración de uso transversal entre cátedras. El nivel PaaS constituye el punto de equilibrio de la propuesta: mediante plantillas preestablecidas —por ejemplo, un motor de base de datos o un entorno de ejecución específico— resulta fundamental para materias intermedias como Ingeniería de Software, Bases de Datos y Redes de Información, al combinar autonomía de despliegue con un consumo acotado de recursos. El nivel IaaS, en cambio, posee un alcance limitado en el estado actual del prototipo debido a la escasez de recursos físicos, por lo que se reserva para cursos avanzados de Sistemas Operativos y Computación de Alto Rendimiento (HPC), donde el estudiante requiere control total sobre el sistema operativo y la configuración de red; su definición se incorpora como horizonte de crecimiento.</w:t>
      </w:r>
    </w:p>
    <w:p w14:paraId="41CBC178" w14:textId="77777777" w:rsidR="0071129C" w:rsidRPr="0071129C" w:rsidRDefault="0071129C" w:rsidP="0071129C">
      <w:pPr>
        <w:spacing w:before="160" w:after="100"/>
        <w:rPr>
          <w:lang w:val="es-AR"/>
        </w:rPr>
      </w:pPr>
      <w:r w:rsidRPr="0071129C">
        <w:rPr>
          <w:b/>
          <w:bCs/>
          <w:i/>
          <w:iCs/>
          <w:lang w:val="es-AR"/>
        </w:rPr>
        <w:t>B. Virtualización avanzada: contenedores y VDI/DaaS</w:t>
      </w:r>
    </w:p>
    <w:p w14:paraId="40C9F68E" w14:textId="77777777" w:rsidR="0071129C" w:rsidRPr="0071129C" w:rsidRDefault="0071129C" w:rsidP="0071129C">
      <w:pPr>
        <w:spacing w:after="120" w:line="252" w:lineRule="auto"/>
        <w:jc w:val="both"/>
        <w:rPr>
          <w:lang w:val="es-AR"/>
        </w:rPr>
      </w:pPr>
      <w:r w:rsidRPr="0071129C">
        <w:rPr>
          <w:lang w:val="es-AR"/>
        </w:rPr>
        <w:t xml:space="preserve">El núcleo técnico de la NAP se apoya en dos modelos de virtualización avanzada que convergen en la práctica académica. Los laboratorios basados en contenedores representan la frontera tecnológica actual: al compartir el núcleo del sistema anfitrión, presentan una huella de recursos reducida [6] y permiten crear escenarios de red realistas, ligeros, consistentes y con bajos </w:t>
      </w:r>
      <w:r w:rsidRPr="0071129C">
        <w:rPr>
          <w:lang w:val="es-AR"/>
        </w:rPr>
        <w:lastRenderedPageBreak/>
        <w:t>requisitos de configuración, resultando efectivos en asignaturas en las que los estudiantes asumen roles prácticos en redes aisladas y seguras. Los escritorios como servicio (DaaS/VDI) permiten, por su parte, centralizar la administración, disminuir el tiempo de preparación de los laboratorios de horas a minutos y extender la vida útil del hardware obsoleto.</w:t>
      </w:r>
    </w:p>
    <w:p w14:paraId="1F0476E3" w14:textId="77777777" w:rsidR="0071129C" w:rsidRPr="0071129C" w:rsidRDefault="0071129C" w:rsidP="0071129C">
      <w:pPr>
        <w:spacing w:before="160" w:after="100"/>
        <w:rPr>
          <w:lang w:val="es-AR"/>
        </w:rPr>
      </w:pPr>
      <w:r w:rsidRPr="0071129C">
        <w:rPr>
          <w:b/>
          <w:bCs/>
          <w:i/>
          <w:iCs/>
          <w:lang w:val="es-AR"/>
        </w:rPr>
        <w:t>C. Gobernanza, soberanía digital y software libre</w:t>
      </w:r>
    </w:p>
    <w:p w14:paraId="09519904" w14:textId="77777777" w:rsidR="0071129C" w:rsidRPr="0071129C" w:rsidRDefault="0071129C" w:rsidP="0071129C">
      <w:pPr>
        <w:spacing w:after="120" w:line="252" w:lineRule="auto"/>
        <w:jc w:val="both"/>
        <w:rPr>
          <w:lang w:val="es-AR"/>
        </w:rPr>
      </w:pPr>
      <w:r w:rsidRPr="0071129C">
        <w:rPr>
          <w:lang w:val="es-AR"/>
        </w:rPr>
        <w:t xml:space="preserve">En materia de gobernanza y soberanía digital existe una vacancia relevante: la incorporación creciente de la inteligencia artificial generativa como andamiaje pedagógico plantea nuevos desafíos éticos y de seguridad que exigen un marco robusto para alinear las capacidades tecnológicas con las metas académicas. En este sentido, la implementación de servicios sobre nubes académicas privadas basadas en software libre —Proxmox VE, OpenStack, Apache CloudStack, OpenNebula, sistemas de almacenamiento distribuido tipo Ceph, junto con herramientas de observabilidad y automatización como Prometheus, Grafana, OpenTofu, Kubernetes, Docker y LXC— se considera una práctica de vanguardia para garantizar la soberanía digital, reducir los costos de licenciamiento y retener el conocimiento organizacional dentro de la universidad. En el segmento de Infraestructura como Servicio, proyectos como OpenStack, Apache CloudStack y OpenNebula ofrecen entornos completos de aprovisionamiento a escala de centro de datos [7], [8], [9], pero imponen una complejidad operativa y un consumo de recursos que los vuelve poco adecuados para un prototipo académico con hardware limitado. Proxmox VE, en cambio, se ha consolidado como alternativa de código abierto que integra en una sola herramienta la gestión de máquinas virtuales y contenedores, la alta disponibilidad, las redes definidas por software y la integración con almacenamiento compartido [3], por lo </w:t>
      </w:r>
      <w:r w:rsidRPr="0071129C">
        <w:rPr>
          <w:lang w:val="es-AR"/>
        </w:rPr>
        <w:t>que constituye el hipervisor adoptado en este trabajo.</w:t>
      </w:r>
    </w:p>
    <w:p w14:paraId="1A67EAEC" w14:textId="77777777" w:rsidR="0071129C" w:rsidRPr="0071129C" w:rsidRDefault="0071129C" w:rsidP="0071129C">
      <w:pPr>
        <w:spacing w:before="240" w:after="160"/>
        <w:jc w:val="center"/>
        <w:rPr>
          <w:lang w:val="es-AR"/>
        </w:rPr>
      </w:pPr>
      <w:r w:rsidRPr="0071129C">
        <w:rPr>
          <w:b/>
          <w:bCs/>
          <w:lang w:val="es-AR"/>
        </w:rPr>
        <w:t>III. ARQUITECTURA PROPUESTA E INFRAESTRUCTURA TÉCNICA</w:t>
      </w:r>
    </w:p>
    <w:p w14:paraId="1FAC299E" w14:textId="77777777" w:rsidR="0071129C" w:rsidRPr="0071129C" w:rsidRDefault="0071129C" w:rsidP="0071129C">
      <w:pPr>
        <w:spacing w:before="160" w:after="100"/>
        <w:rPr>
          <w:lang w:val="es-AR"/>
        </w:rPr>
      </w:pPr>
      <w:r w:rsidRPr="0071129C">
        <w:rPr>
          <w:b/>
          <w:bCs/>
          <w:i/>
          <w:iCs/>
          <w:lang w:val="es-AR"/>
        </w:rPr>
        <w:t>A. Hardware y nodos</w:t>
      </w:r>
    </w:p>
    <w:p w14:paraId="2AC5499F" w14:textId="77777777" w:rsidR="0071129C" w:rsidRPr="0071129C" w:rsidRDefault="0071129C" w:rsidP="0071129C">
      <w:pPr>
        <w:spacing w:after="120" w:line="252" w:lineRule="auto"/>
        <w:jc w:val="both"/>
        <w:rPr>
          <w:lang w:val="es-AR"/>
        </w:rPr>
      </w:pPr>
      <w:r w:rsidRPr="0071129C">
        <w:rPr>
          <w:lang w:val="es-AR"/>
        </w:rPr>
        <w:t>El clúster parte de tres nodos físicos iniciales, cada uno equipado con procesador Intel Core i5, 64 GB de memoria RAM y dos discos rígidos de 2 TB, que operan de manera unificada. Esta configuración prioriza la densidad de memoria, factor determinante para sostener numerosas máquinas virtuales y contenedores en simultáneo. A la cabeza del clúster se incorpora un nodo cabecera basado en procesador Intel Core i7, que concentra las tareas de coordinación y administración del conjunto.</w:t>
      </w:r>
    </w:p>
    <w:p w14:paraId="6DA62D94" w14:textId="77777777" w:rsidR="0071129C" w:rsidRPr="0071129C" w:rsidRDefault="0071129C" w:rsidP="0071129C">
      <w:pPr>
        <w:spacing w:before="160" w:after="100"/>
        <w:rPr>
          <w:lang w:val="es-AR"/>
        </w:rPr>
      </w:pPr>
      <w:r w:rsidRPr="0071129C">
        <w:rPr>
          <w:b/>
          <w:bCs/>
          <w:i/>
          <w:iCs/>
          <w:lang w:val="es-AR"/>
        </w:rPr>
        <w:t>B. Segmentación de red mediante VLANs y SDN</w:t>
      </w:r>
    </w:p>
    <w:p w14:paraId="1B2F7849" w14:textId="77777777" w:rsidR="0071129C" w:rsidRPr="0071129C" w:rsidRDefault="0071129C" w:rsidP="0071129C">
      <w:pPr>
        <w:spacing w:after="120" w:line="252" w:lineRule="auto"/>
        <w:jc w:val="both"/>
        <w:rPr>
          <w:lang w:val="es-AR"/>
        </w:rPr>
      </w:pPr>
      <w:r w:rsidRPr="0071129C">
        <w:rPr>
          <w:lang w:val="es-AR"/>
        </w:rPr>
        <w:t>El tráfico del clúster se separa lógicamente en tres redes esenciales mediante VLANs: una red de cómputo/acceso, que canaliza el tráfico de usuarios y la comunicación entre máquinas virtuales y contenedores; una red de almacenamiento, que reserva un canal dedicado al acceso al storage compartido; y una red de sincronización (clustering), que aísla el tráfico de quórum y latido del clúster, del cual depende la estabilidad de la alta disponibilidad. Sobre esta segmentación se implementan redes definidas por software (SDN) [5], que permiten crear redes virtuales propias por cátedra, aisladas entre sí, y facilitar el ajuste de servicios sin reconfigurar manualmente el equipamiento físico, reforzando el aislamiento entre inquilinos (tenants).</w:t>
      </w:r>
    </w:p>
    <w:p w14:paraId="07264331" w14:textId="77777777" w:rsidR="0071129C" w:rsidRPr="0071129C" w:rsidRDefault="0071129C" w:rsidP="0071129C">
      <w:pPr>
        <w:spacing w:before="160" w:after="100"/>
        <w:rPr>
          <w:lang w:val="es-AR"/>
        </w:rPr>
      </w:pPr>
      <w:r w:rsidRPr="0071129C">
        <w:rPr>
          <w:b/>
          <w:bCs/>
          <w:i/>
          <w:iCs/>
          <w:lang w:val="es-AR"/>
        </w:rPr>
        <w:t>C. Almacenamiento dedicado y alta disponibilidad</w:t>
      </w:r>
    </w:p>
    <w:p w14:paraId="61EC6AE4" w14:textId="77777777" w:rsidR="0071129C" w:rsidRPr="0071129C" w:rsidRDefault="0071129C" w:rsidP="0071129C">
      <w:pPr>
        <w:spacing w:after="120" w:line="252" w:lineRule="auto"/>
        <w:jc w:val="both"/>
        <w:rPr>
          <w:lang w:val="es-AR"/>
        </w:rPr>
      </w:pPr>
      <w:r w:rsidRPr="0071129C">
        <w:rPr>
          <w:lang w:val="es-AR"/>
        </w:rPr>
        <w:t xml:space="preserve">El almacenamiento se resuelve mediante un servidor NAS/Storage separado del procesamiento, que centraliza las imágenes de las máquinas virtuales y contenedores y las expone a todos los nodos a través de la </w:t>
      </w:r>
      <w:r w:rsidRPr="0071129C">
        <w:rPr>
          <w:lang w:val="es-AR"/>
        </w:rPr>
        <w:lastRenderedPageBreak/>
        <w:t>red de almacenamiento dedicada. Esta separación entre cómputo y datos es un requisito arquitectónico clave: al residir las imágenes en un almacenamiento compartido y accesible por todos los nodos, cualquier nodo de procesamiento puede hacerse cargo de una carga previamente ejecutada en otro. Ante la caída de un nodo, la máquina virtual o el contenedor afectado se levanta automáticamente en segundos sobre otro nodo físico, mediante la migración automática de Proxmox VE [4], apoyada en el almacenamiento compartido, la red de sincronización y la unificación del conjunto de nodos como plataforma única.</w:t>
      </w:r>
    </w:p>
    <w:p w14:paraId="45CDA098" w14:textId="77777777" w:rsidR="0071129C" w:rsidRPr="0071129C" w:rsidRDefault="0071129C" w:rsidP="0071129C">
      <w:pPr>
        <w:spacing w:before="160" w:after="100"/>
        <w:rPr>
          <w:lang w:val="es-AR"/>
        </w:rPr>
      </w:pPr>
      <w:r w:rsidRPr="0071129C">
        <w:rPr>
          <w:b/>
          <w:bCs/>
          <w:i/>
          <w:iCs/>
          <w:lang w:val="es-AR"/>
        </w:rPr>
        <w:t>D. Aislamiento por pools de recursos y automatización</w:t>
      </w:r>
    </w:p>
    <w:p w14:paraId="7C96B30B" w14:textId="77777777" w:rsidR="0071129C" w:rsidRPr="0071129C" w:rsidRDefault="0071129C" w:rsidP="0071129C">
      <w:pPr>
        <w:spacing w:after="120" w:line="252" w:lineRule="auto"/>
        <w:jc w:val="both"/>
        <w:rPr>
          <w:lang w:val="es-AR"/>
        </w:rPr>
      </w:pPr>
      <w:r w:rsidRPr="0071129C">
        <w:rPr>
          <w:lang w:val="es-AR"/>
        </w:rPr>
        <w:t>El acceso de las cátedras se organiza mediante pools de recursos encapsulados: cada cátedra accede únicamente a su propio pool y a una red de software propia, sin visibilidad sobre los recursos de las demás, mientras el administrador conserva la visibilidad total del entorno. Este esquema materializa, en el ámbito académico, el principio de multitenencia propio de las plataformas de nube. Para reducir la carga operativa se incorpora un software de administración que automatiza las solicitudes y la creación de servicios preestablecidos a partir de plantillas —por ejemplo, una base de datos PostgreSQL o un entorno Android—, adaptándolos a los límites de hardware definidos para cada pool. Las solicitudes siguen un flujo de estados que ordena la instalación de servicios desde el pedido inicial de la cátedra, su revisión y aprobación por la administración, el aprovisionamiento automatizado y la entrega del servicio operativo, aportando trazabilidad y previsibilidad.</w:t>
      </w:r>
    </w:p>
    <w:p w14:paraId="3C5FA64E" w14:textId="77777777" w:rsidR="0071129C" w:rsidRPr="0071129C" w:rsidRDefault="0071129C" w:rsidP="0071129C">
      <w:pPr>
        <w:spacing w:before="240" w:after="160"/>
        <w:jc w:val="center"/>
        <w:rPr>
          <w:lang w:val="es-AR"/>
        </w:rPr>
      </w:pPr>
      <w:r w:rsidRPr="0071129C">
        <w:rPr>
          <w:b/>
          <w:bCs/>
          <w:lang w:val="es-AR"/>
        </w:rPr>
        <w:t>IV. METODOLOGÍA DE INVESTIGACIÓN</w:t>
      </w:r>
    </w:p>
    <w:p w14:paraId="3C7BDB2C" w14:textId="77777777" w:rsidR="0071129C" w:rsidRPr="0071129C" w:rsidRDefault="0071129C" w:rsidP="0071129C">
      <w:pPr>
        <w:spacing w:after="120" w:line="252" w:lineRule="auto"/>
        <w:jc w:val="both"/>
        <w:rPr>
          <w:lang w:val="es-AR"/>
        </w:rPr>
      </w:pPr>
      <w:r w:rsidRPr="0071129C">
        <w:rPr>
          <w:lang w:val="es-AR"/>
        </w:rPr>
        <w:t xml:space="preserve">La investigación se enmarca en una investigación aplicada, dado que busca </w:t>
      </w:r>
      <w:r w:rsidRPr="0071129C">
        <w:rPr>
          <w:lang w:val="es-AR"/>
        </w:rPr>
        <w:t>desarrollar una solución tecnológica orientada a atender una necesidad concreta de la carrera de Ingeniería en Sistemas de Información de la UTN-FRT [10]. El proyecto adopta, asimismo, un diseño de investigación tecnológica basado en la metodología Design Science Research (DSR), pertinente porque su objetivo central consiste en diseñar, implementar y evaluar un artefacto tecnológico-pedagógico: el prototipo de NAP [11]. El estudio adopta un enfoque mixto, que integra técnicas cuantitativas —disponibilidad, rendimiento, utilización de recursos, tiempos de respuesta, usuarios concurrentes— y cualitativas —percepción de utilidad, apropiación tecnológica, satisfacción docente y estudiantil—, con el propósito de evaluar tanto el desempeño técnico como la pertinencia pedagógica del prototipo.</w:t>
      </w:r>
    </w:p>
    <w:p w14:paraId="769402D8" w14:textId="77777777" w:rsidR="0071129C" w:rsidRPr="0071129C" w:rsidRDefault="0071129C" w:rsidP="0071129C">
      <w:pPr>
        <w:spacing w:after="120" w:line="252" w:lineRule="auto"/>
        <w:jc w:val="both"/>
        <w:rPr>
          <w:lang w:val="es-AR"/>
        </w:rPr>
      </w:pPr>
      <w:r w:rsidRPr="0071129C">
        <w:rPr>
          <w:lang w:val="es-AR"/>
        </w:rPr>
        <w:t>El diseño metodológico se organiza en siete fases, articuladas con los objetivos específicos y estructuradas según el modelo de proceso de DSR de Peffers et al. [12]:</w:t>
      </w:r>
    </w:p>
    <w:p w14:paraId="273E0CD6" w14:textId="77777777" w:rsidR="0071129C" w:rsidRPr="0071129C" w:rsidRDefault="0071129C" w:rsidP="0071129C">
      <w:pPr>
        <w:spacing w:after="120" w:line="252" w:lineRule="auto"/>
        <w:jc w:val="both"/>
        <w:rPr>
          <w:lang w:val="es-AR"/>
        </w:rPr>
      </w:pPr>
      <w:r w:rsidRPr="0071129C">
        <w:rPr>
          <w:b/>
          <w:bCs/>
          <w:lang w:val="es-AR"/>
        </w:rPr>
        <w:t xml:space="preserve">Fase 1 — Diagnóstico y relevamiento de requerimientos: </w:t>
      </w:r>
      <w:r w:rsidRPr="0071129C">
        <w:rPr>
          <w:lang w:val="es-AR"/>
        </w:rPr>
        <w:t>revisión bibliográfica y documental, análisis institucional y entrevistas a docentes para relevar las necesidades tecnológicas, pedagógicas y curriculares de asignaturas seleccionadas. Resultado: documento de requerimientos de la NAP.</w:t>
      </w:r>
    </w:p>
    <w:p w14:paraId="127F24AB" w14:textId="77777777" w:rsidR="0071129C" w:rsidRPr="0071129C" w:rsidRDefault="0071129C" w:rsidP="0071129C">
      <w:pPr>
        <w:spacing w:after="120" w:line="252" w:lineRule="auto"/>
        <w:jc w:val="both"/>
        <w:rPr>
          <w:lang w:val="es-AR"/>
        </w:rPr>
      </w:pPr>
      <w:r w:rsidRPr="0071129C">
        <w:rPr>
          <w:b/>
          <w:bCs/>
          <w:lang w:val="es-AR"/>
        </w:rPr>
        <w:t xml:space="preserve">Fase 2 — Diseño de la arquitectura conceptual y técnica: </w:t>
      </w:r>
      <w:r w:rsidRPr="0071129C">
        <w:rPr>
          <w:lang w:val="es-AR"/>
        </w:rPr>
        <w:t>definición de los componentes de infraestructura física y lógica, servicios académicos, autenticación, monitoreo, almacenamiento y respaldo, priorizando tecnologías abiertas. Resultado: diseño de la arquitectura tecnológico-pedagógica.</w:t>
      </w:r>
    </w:p>
    <w:p w14:paraId="32AE6D11" w14:textId="77777777" w:rsidR="0071129C" w:rsidRPr="0071129C" w:rsidRDefault="0071129C" w:rsidP="0071129C">
      <w:pPr>
        <w:spacing w:after="120" w:line="252" w:lineRule="auto"/>
        <w:jc w:val="both"/>
        <w:rPr>
          <w:lang w:val="es-AR"/>
        </w:rPr>
      </w:pPr>
      <w:r w:rsidRPr="0071129C">
        <w:rPr>
          <w:b/>
          <w:bCs/>
          <w:lang w:val="es-AR"/>
        </w:rPr>
        <w:t xml:space="preserve">Fase 3 — Implementación del prototipo: </w:t>
      </w:r>
      <w:r w:rsidRPr="0071129C">
        <w:rPr>
          <w:lang w:val="es-AR"/>
        </w:rPr>
        <w:t xml:space="preserve">despliegue del entorno piloto de nube privada académica, integrando cómputo, almacenamiento, conectividad, virtualización, gestión de usuarios y acceso </w:t>
      </w:r>
      <w:r w:rsidRPr="0071129C">
        <w:rPr>
          <w:lang w:val="es-AR"/>
        </w:rPr>
        <w:lastRenderedPageBreak/>
        <w:t>remoto. Resultado: prototipo funcional de NAP.</w:t>
      </w:r>
    </w:p>
    <w:p w14:paraId="689B00D0" w14:textId="77777777" w:rsidR="0071129C" w:rsidRPr="0071129C" w:rsidRDefault="0071129C" w:rsidP="0071129C">
      <w:pPr>
        <w:spacing w:after="120" w:line="252" w:lineRule="auto"/>
        <w:jc w:val="both"/>
        <w:rPr>
          <w:lang w:val="es-AR"/>
        </w:rPr>
      </w:pPr>
      <w:r w:rsidRPr="0071129C">
        <w:rPr>
          <w:b/>
          <w:bCs/>
          <w:lang w:val="es-AR"/>
        </w:rPr>
        <w:t xml:space="preserve">Fase 4 — Desarrollo de entornos virtuales de práctica: </w:t>
      </w:r>
      <w:r w:rsidRPr="0071129C">
        <w:rPr>
          <w:lang w:val="es-AR"/>
        </w:rPr>
        <w:t>diseño de laboratorios virtuales orientados al aprendizaje activo, la experimentación y el trabajo colaborativo, seleccionados según relevancia curricular y potencial de reutilización. Resultado: laboratorios virtuales reutilizables.</w:t>
      </w:r>
    </w:p>
    <w:p w14:paraId="1D7B0B06" w14:textId="77777777" w:rsidR="0071129C" w:rsidRPr="0071129C" w:rsidRDefault="0071129C" w:rsidP="0071129C">
      <w:pPr>
        <w:spacing w:after="120" w:line="252" w:lineRule="auto"/>
        <w:jc w:val="both"/>
        <w:rPr>
          <w:lang w:val="es-AR"/>
        </w:rPr>
      </w:pPr>
      <w:r w:rsidRPr="0071129C">
        <w:rPr>
          <w:b/>
          <w:bCs/>
          <w:lang w:val="es-AR"/>
        </w:rPr>
        <w:t xml:space="preserve">Fase 5 — Implementación de la experiencia piloto: </w:t>
      </w:r>
      <w:r w:rsidRPr="0071129C">
        <w:rPr>
          <w:lang w:val="es-AR"/>
        </w:rPr>
        <w:t>aplicación de la NAP con docentes y estudiantes en situaciones reales de enseñanza, con relevamiento de datos de uso, desempeño técnico y percepción de los participantes. Resultado: experiencia piloto documentada.</w:t>
      </w:r>
    </w:p>
    <w:p w14:paraId="1462A865" w14:textId="77777777" w:rsidR="0071129C" w:rsidRPr="0071129C" w:rsidRDefault="0071129C" w:rsidP="0071129C">
      <w:pPr>
        <w:spacing w:after="120" w:line="252" w:lineRule="auto"/>
        <w:jc w:val="both"/>
        <w:rPr>
          <w:lang w:val="es-AR"/>
        </w:rPr>
      </w:pPr>
      <w:r w:rsidRPr="0071129C">
        <w:rPr>
          <w:b/>
          <w:bCs/>
          <w:lang w:val="es-AR"/>
        </w:rPr>
        <w:t xml:space="preserve">Fase 6 — Evaluación técnica y pedagógica: </w:t>
      </w:r>
      <w:r w:rsidRPr="0071129C">
        <w:rPr>
          <w:lang w:val="es-AR"/>
        </w:rPr>
        <w:t>análisis mediante indicadores técnicos (disponibilidad, estabilidad, uso de CPU y memoria, usuarios concurrentes) e indicadores pedagógicos (usabilidad, satisfacción, apropiación tecnológica), recolectados mediante métricas de servidor, encuestas Likert y entrevistas semiestructuradas. Resultado: informe de evaluación técnica y pedagógica.</w:t>
      </w:r>
    </w:p>
    <w:p w14:paraId="27E2DB8C" w14:textId="77777777" w:rsidR="0071129C" w:rsidRPr="0071129C" w:rsidRDefault="0071129C" w:rsidP="0071129C">
      <w:pPr>
        <w:spacing w:after="120" w:line="252" w:lineRule="auto"/>
        <w:jc w:val="both"/>
        <w:rPr>
          <w:lang w:val="es-AR"/>
        </w:rPr>
      </w:pPr>
      <w:r w:rsidRPr="0071129C">
        <w:rPr>
          <w:b/>
          <w:bCs/>
          <w:lang w:val="es-AR"/>
        </w:rPr>
        <w:t xml:space="preserve">Fase 7 — Análisis de resultados, mejora, sostenibilidad y escalabilidad: </w:t>
      </w:r>
      <w:r w:rsidRPr="0071129C">
        <w:rPr>
          <w:lang w:val="es-AR"/>
        </w:rPr>
        <w:t>formulación de recomendaciones para el rediseño, la ampliación a otras asignaturas, la capacitación docente y la transición del prototipo hacia un servicio institucional en producción. Resultado: recomendaciones técnicas, pedagógicas e institucionales.</w:t>
      </w:r>
    </w:p>
    <w:p w14:paraId="450D4DD2" w14:textId="77777777" w:rsidR="0071129C" w:rsidRPr="0071129C" w:rsidRDefault="0071129C" w:rsidP="0071129C">
      <w:pPr>
        <w:spacing w:before="240" w:after="160"/>
        <w:jc w:val="center"/>
        <w:rPr>
          <w:lang w:val="es-AR"/>
        </w:rPr>
      </w:pPr>
      <w:r w:rsidRPr="0071129C">
        <w:rPr>
          <w:b/>
          <w:bCs/>
          <w:lang w:val="es-AR"/>
        </w:rPr>
        <w:t>V. IMPACTO, TRANSFERENCIA Y FORMACIÓN DE RECURSOS HUMANOS</w:t>
      </w:r>
    </w:p>
    <w:p w14:paraId="2A6F4177" w14:textId="77777777" w:rsidR="0071129C" w:rsidRPr="0071129C" w:rsidRDefault="0071129C" w:rsidP="0071129C">
      <w:pPr>
        <w:spacing w:after="120" w:line="252" w:lineRule="auto"/>
        <w:jc w:val="both"/>
        <w:rPr>
          <w:lang w:val="es-AR"/>
        </w:rPr>
      </w:pPr>
      <w:r w:rsidRPr="0071129C">
        <w:rPr>
          <w:lang w:val="es-AR"/>
        </w:rPr>
        <w:t xml:space="preserve">La NAP se dimensiona desde cuatro ejes estratégicos orientados a la generación de talento humano altamente calificado y a la democratización del acceso a la tecnología. El Eje 1, transferencia al sector productivo, actúa como puente directo entre la academia y el mercado laboral, dotando a los estudiantes de habilidades técnicas y </w:t>
      </w:r>
      <w:r w:rsidRPr="0071129C">
        <w:rPr>
          <w:lang w:val="es-AR"/>
        </w:rPr>
        <w:t>transversales alineadas con el ODS 9, mediante experiencias prácticas reales (hands-on) con control remoto sobre infraestructura compleja. El Eje 2, reducción de la brecha digital, garantiza que los estudiantes cuenten con la misma base tecnológica con independencia de su equipamiento personal, sosteniendo una educación de calidad (ODS 4). El Eje 3, ciudadanía global y colaboración, fomenta la producción de conocimiento abierto —repositorios institucionales, cursos MOOC— y el desarrollo de competencias interculturales mediante metodologías como el aprendizaje colaborativo internacional en línea (COIL). El Eje 4, soberanía digital y fortalecimiento institucional, consolida un esquema de gobernanza que abarca desde la gestión departamental hasta las cátedras, alineado con el ODS 10.</w:t>
      </w:r>
    </w:p>
    <w:p w14:paraId="092F3359" w14:textId="77777777" w:rsidR="0071129C" w:rsidRPr="0071129C" w:rsidRDefault="0071129C" w:rsidP="0071129C">
      <w:pPr>
        <w:spacing w:after="120" w:line="252" w:lineRule="auto"/>
        <w:jc w:val="both"/>
        <w:rPr>
          <w:lang w:val="es-AR"/>
        </w:rPr>
      </w:pPr>
      <w:r w:rsidRPr="0071129C">
        <w:rPr>
          <w:lang w:val="es-AR"/>
        </w:rPr>
        <w:t>En cuanto a la formación de recursos humanos, el aporte se distingue en tres dimensiones. Para el estudiante, la especialización en competencias técnicas y digitales de alto nivel (SaaS, PaaS, IaaS, ciberseguridad, ciencia de datos), junto con competencias blandas —pensamiento crítico, trabajo en equipo, ética profesional— y la formación de un sujeto cognitivo capaz de gestionar su propio aprendizaje. Para el claustro docente y técnico, la elevación de la madurez digital del personal, que pasa a ser mediador y diseñador de experiencias de aprendizaje significativo. Para los docentes-investigadores, el aporte a su formación en cátedras como Arquitectura de Computadoras, Virtualización y Consolidación de Servidores, Redes de Telecomunicaciones y Seguridad Informática, favoreciendo el trabajo interdisciplinario y multidisciplinario.</w:t>
      </w:r>
    </w:p>
    <w:p w14:paraId="72D18AE3" w14:textId="77777777" w:rsidR="0071129C" w:rsidRPr="008B1651" w:rsidRDefault="0071129C" w:rsidP="0071129C">
      <w:pPr>
        <w:spacing w:before="240" w:after="160"/>
        <w:jc w:val="center"/>
      </w:pPr>
      <w:r w:rsidRPr="008B1651">
        <w:rPr>
          <w:b/>
          <w:bCs/>
        </w:rPr>
        <w:t>VI. VALIDACIÓN Y RESULTADOS PRELIMINARES</w:t>
      </w:r>
    </w:p>
    <w:p w14:paraId="6BCA1116" w14:textId="77777777" w:rsidR="0071129C" w:rsidRPr="0071129C" w:rsidRDefault="0071129C" w:rsidP="0071129C">
      <w:pPr>
        <w:spacing w:after="120" w:line="252" w:lineRule="auto"/>
        <w:jc w:val="both"/>
        <w:rPr>
          <w:lang w:val="es-AR"/>
        </w:rPr>
      </w:pPr>
      <w:r w:rsidRPr="0071129C">
        <w:rPr>
          <w:lang w:val="es-AR"/>
        </w:rPr>
        <w:t xml:space="preserve">La validación del prototipo se sustenta en evidencia real obtenida durante su </w:t>
      </w:r>
      <w:r w:rsidRPr="0071129C">
        <w:rPr>
          <w:lang w:val="es-AR"/>
        </w:rPr>
        <w:lastRenderedPageBreak/>
        <w:t>operación. Un caso representativo es el de la cátedra de Virtualización, en el que se logró ejecutar de manera dinámica 165 contenedores corriendo simultáneamente sobre un nodo de tan solo 8 GB de RAM. Este resultado ilustra la elevada densidad alcanzable con contenedores y demuestra que, aun bajo restricciones de hardware severas, el modelo propuesto es capaz de sostener una carga significativa de servicios académicos. Como complemento de la evidencia técnica, se incorporan grabaciones de exposiciones de estudiantes que documentan el uso del entorno, y se propone el desarrollo de un dashboard de monitoreo que permita observar en tiempo real el estado del clúster, la utilización de recursos por pool y la disponibilidad de los servicios.</w:t>
      </w:r>
    </w:p>
    <w:p w14:paraId="41FE651D" w14:textId="77777777" w:rsidR="0071129C" w:rsidRPr="0071129C" w:rsidRDefault="0071129C" w:rsidP="0071129C">
      <w:pPr>
        <w:spacing w:after="120" w:line="252" w:lineRule="auto"/>
        <w:jc w:val="both"/>
        <w:rPr>
          <w:lang w:val="es-AR"/>
        </w:rPr>
      </w:pPr>
      <w:r w:rsidRPr="0071129C">
        <w:rPr>
          <w:lang w:val="es-AR"/>
        </w:rPr>
        <w:t>Cabe señalar que las métricas obtenidas hasta el momento son preliminares y de carácter mayormente cualitativo, dado que la evaluación se realizó sobre un prototipo de tres nodos y en el ámbito de una única unidad académica. La consolidación de indicadores cuantitativos de disponibilidad, rendimiento y percepción pedagógica constituye una de las líneas de trabajo inmediatas del proyecto, en el marco de la Fase 6 de la metodología DSR.</w:t>
      </w:r>
    </w:p>
    <w:p w14:paraId="5779E792" w14:textId="77777777" w:rsidR="0071129C" w:rsidRPr="0071129C" w:rsidRDefault="0071129C" w:rsidP="0071129C">
      <w:pPr>
        <w:spacing w:before="240" w:after="160"/>
        <w:jc w:val="center"/>
        <w:rPr>
          <w:lang w:val="es-AR"/>
        </w:rPr>
      </w:pPr>
      <w:r w:rsidRPr="0071129C">
        <w:rPr>
          <w:b/>
          <w:bCs/>
          <w:lang w:val="es-AR"/>
        </w:rPr>
        <w:t>VII. CONCLUSIONES Y TRABAJOS FUTUROS</w:t>
      </w:r>
    </w:p>
    <w:p w14:paraId="7AB5A44D" w14:textId="77777777" w:rsidR="0071129C" w:rsidRPr="0071129C" w:rsidRDefault="0071129C" w:rsidP="0071129C">
      <w:pPr>
        <w:spacing w:after="120" w:line="252" w:lineRule="auto"/>
        <w:jc w:val="both"/>
        <w:rPr>
          <w:lang w:val="es-AR"/>
        </w:rPr>
      </w:pPr>
      <w:r w:rsidRPr="0071129C">
        <w:rPr>
          <w:lang w:val="es-AR"/>
        </w:rPr>
        <w:t xml:space="preserve">La Nube Académica Práctica presentada demuestra la viabilidad técnica y pedagógica de centralizar y optimizar los recursos de cómputo del Departamento de Ingeniería en Sistemas de Información mediante virtualización con Proxmox VE, al tiempo que sostiene un modelo de aprendizaje activo alineado con los cuatro pilares de la UNESCO y con los Objetivos de Desarrollo Sostenible 4, 9 y 10. La adopción del marco NIST de Cloud Computing aportó una gobernanza clara sobre los modelos de servicio; la arquitectura basada en un clúster con alta disponibilidad, segmentación de red por VLANs, SDN y almacenamiento </w:t>
      </w:r>
      <w:r w:rsidRPr="0071129C">
        <w:rPr>
          <w:lang w:val="es-AR"/>
        </w:rPr>
        <w:t>dedicado permitió sostener la continuidad de los servicios ante fallos de hardware; y el aislamiento por pools de recursos, junto con la automatización mediante plantillas, hizo posible ofrecer a las cátedras un entorno de autoservicio controlado y reproducible. La adopción de la metodología Design Science Research, estructurada en siete fases, dotó al proyecto de un marco riguroso para articular el diseño técnico con la evaluación pedagógica.</w:t>
      </w:r>
    </w:p>
    <w:p w14:paraId="256D1D21" w14:textId="77777777" w:rsidR="0071129C" w:rsidRPr="0071129C" w:rsidRDefault="0071129C" w:rsidP="0071129C">
      <w:pPr>
        <w:spacing w:after="120" w:line="252" w:lineRule="auto"/>
        <w:jc w:val="both"/>
        <w:rPr>
          <w:lang w:val="es-AR"/>
        </w:rPr>
      </w:pPr>
      <w:r w:rsidRPr="0071129C">
        <w:rPr>
          <w:lang w:val="es-AR"/>
        </w:rPr>
        <w:t>El trabajo presenta, no obstante, limitaciones que conviene explicitar: el alcance del modelo IaaS es reducido por la escasez de equipamiento físico; la evaluación se realizó sobre un prototipo de tres nodos y en el ámbito de una única unidad académica; y las métricas obtenidas son preliminares. Como líneas de trabajo futuro se identifican la ampliación del equipamiento físico para habilitar plenamente el modelo IaaS, la consolidación del dashboard de monitoreo con métricas cuantitativas, el refinamiento del catálogo de plantillas y de los laboratorios virtuales, la maduración de las políticas de respaldo y seguridad, la ejecución de la experiencia piloto con docentes y estudiantes prevista en la Fase 5, y la incorporación progresiva de nuevas cátedras como paso hacia la transición del prototipo a un servicio institucional en producción.</w:t>
      </w:r>
    </w:p>
    <w:p w14:paraId="660337E7" w14:textId="77777777" w:rsidR="0071129C" w:rsidRPr="008B1651" w:rsidRDefault="0071129C" w:rsidP="0071129C">
      <w:pPr>
        <w:spacing w:before="240" w:after="160"/>
        <w:rPr>
          <w:sz w:val="20"/>
          <w:szCs w:val="20"/>
        </w:rPr>
      </w:pPr>
      <w:r w:rsidRPr="008B1651">
        <w:rPr>
          <w:b/>
          <w:bCs/>
          <w:sz w:val="20"/>
          <w:szCs w:val="20"/>
        </w:rPr>
        <w:t>REFERENCIAS</w:t>
      </w:r>
    </w:p>
    <w:p w14:paraId="24848C9C" w14:textId="77777777" w:rsidR="0071129C" w:rsidRPr="008B1651" w:rsidRDefault="0071129C" w:rsidP="0071129C">
      <w:pPr>
        <w:spacing w:after="80"/>
        <w:ind w:left="227" w:hanging="227"/>
        <w:jc w:val="both"/>
        <w:rPr>
          <w:sz w:val="20"/>
          <w:szCs w:val="20"/>
        </w:rPr>
      </w:pPr>
      <w:r w:rsidRPr="008B1651">
        <w:rPr>
          <w:sz w:val="20"/>
          <w:szCs w:val="20"/>
        </w:rPr>
        <w:t>[1] P. Mell y T. Grance, "The NIST Definition of Cloud Computing," NIST Special Publication 800-145, National Institute of Standards and Technology, Gaithersburg, MD, EE. UU., 2011.</w:t>
      </w:r>
    </w:p>
    <w:p w14:paraId="0C130189" w14:textId="77777777" w:rsidR="0071129C" w:rsidRPr="008B1651" w:rsidRDefault="0071129C" w:rsidP="0071129C">
      <w:pPr>
        <w:spacing w:after="80"/>
        <w:ind w:left="227" w:hanging="227"/>
        <w:jc w:val="both"/>
        <w:rPr>
          <w:sz w:val="20"/>
          <w:szCs w:val="20"/>
        </w:rPr>
      </w:pPr>
      <w:r w:rsidRPr="008B1651">
        <w:rPr>
          <w:sz w:val="20"/>
          <w:szCs w:val="20"/>
        </w:rPr>
        <w:t>[2] F. Liu et al., "NIST Cloud Computing Reference Architecture," NIST Special Publication 500-292, National Institute of Standards and Technology, 2011.</w:t>
      </w:r>
    </w:p>
    <w:p w14:paraId="502E9579" w14:textId="77777777" w:rsidR="0071129C" w:rsidRPr="0071129C" w:rsidRDefault="0071129C" w:rsidP="0071129C">
      <w:pPr>
        <w:spacing w:after="80"/>
        <w:ind w:left="227" w:hanging="227"/>
        <w:jc w:val="both"/>
        <w:rPr>
          <w:sz w:val="20"/>
          <w:szCs w:val="20"/>
          <w:lang w:val="es-AR"/>
        </w:rPr>
      </w:pPr>
      <w:r w:rsidRPr="0071129C">
        <w:rPr>
          <w:sz w:val="20"/>
          <w:szCs w:val="20"/>
          <w:lang w:val="es-AR"/>
        </w:rPr>
        <w:t>[3] Proxmox Server Solutions GmbH, "Proxmox VE Administration Guide," documentación oficial, Viena, Austria. Disponible: https://pve.proxmox.com/pve-docs/</w:t>
      </w:r>
    </w:p>
    <w:p w14:paraId="26291F58" w14:textId="77777777" w:rsidR="0071129C" w:rsidRPr="008B1651" w:rsidRDefault="0071129C" w:rsidP="0071129C">
      <w:pPr>
        <w:spacing w:after="80"/>
        <w:ind w:left="227" w:hanging="227"/>
        <w:jc w:val="both"/>
        <w:rPr>
          <w:sz w:val="20"/>
          <w:szCs w:val="20"/>
        </w:rPr>
      </w:pPr>
      <w:r w:rsidRPr="008B1651">
        <w:rPr>
          <w:sz w:val="20"/>
          <w:szCs w:val="20"/>
        </w:rPr>
        <w:t>[4] Proxmox Server Solutions GmbH, "High Availability — Proxmox VE," Proxmox VE Wiki. Disponible: https://pve.proxmox.com/wiki/High_Availability</w:t>
      </w:r>
    </w:p>
    <w:p w14:paraId="12A44B63" w14:textId="77777777" w:rsidR="0071129C" w:rsidRPr="008B1651" w:rsidRDefault="0071129C" w:rsidP="0071129C">
      <w:pPr>
        <w:spacing w:after="80"/>
        <w:ind w:left="227" w:hanging="227"/>
        <w:jc w:val="both"/>
        <w:rPr>
          <w:sz w:val="20"/>
          <w:szCs w:val="20"/>
        </w:rPr>
      </w:pPr>
      <w:r w:rsidRPr="008B1651">
        <w:rPr>
          <w:sz w:val="20"/>
          <w:szCs w:val="20"/>
        </w:rPr>
        <w:lastRenderedPageBreak/>
        <w:t>[5] Proxmox Server Solutions GmbH, "Software Defined Network — Proxmox VE," documentación oficial. Disponible: https://pve.proxmox.com/pve-docs/chapter-pvesdn.html</w:t>
      </w:r>
    </w:p>
    <w:p w14:paraId="43ECD554" w14:textId="77777777" w:rsidR="0071129C" w:rsidRPr="008B1651" w:rsidRDefault="0071129C" w:rsidP="0071129C">
      <w:pPr>
        <w:spacing w:after="80"/>
        <w:ind w:left="227" w:hanging="227"/>
        <w:jc w:val="both"/>
        <w:rPr>
          <w:sz w:val="20"/>
          <w:szCs w:val="20"/>
        </w:rPr>
      </w:pPr>
      <w:r w:rsidRPr="008B1651">
        <w:rPr>
          <w:sz w:val="20"/>
          <w:szCs w:val="20"/>
        </w:rPr>
        <w:t>[6] D. Merkel, "Docker: Lightweight Linux Containers for Consistent Development and Deployment," Linux Journal, vol. 2014, n.o 239, 2014.</w:t>
      </w:r>
    </w:p>
    <w:p w14:paraId="6FC0D27A" w14:textId="77777777" w:rsidR="0071129C" w:rsidRPr="008B1651" w:rsidRDefault="0071129C" w:rsidP="0071129C">
      <w:pPr>
        <w:spacing w:after="80"/>
        <w:ind w:left="227" w:hanging="227"/>
        <w:jc w:val="both"/>
        <w:rPr>
          <w:sz w:val="20"/>
          <w:szCs w:val="20"/>
        </w:rPr>
      </w:pPr>
      <w:r w:rsidRPr="008B1651">
        <w:rPr>
          <w:sz w:val="20"/>
          <w:szCs w:val="20"/>
        </w:rPr>
        <w:t>[7] OpenInfra Foundation, "OpenStack: Open Source Cloud Computing Infrastructure." Disponible: https://www.openstack.org/</w:t>
      </w:r>
    </w:p>
    <w:p w14:paraId="53577FCA" w14:textId="77777777" w:rsidR="0071129C" w:rsidRPr="008B1651" w:rsidRDefault="0071129C" w:rsidP="0071129C">
      <w:pPr>
        <w:spacing w:after="80"/>
        <w:ind w:left="227" w:hanging="227"/>
        <w:jc w:val="both"/>
        <w:rPr>
          <w:sz w:val="20"/>
          <w:szCs w:val="20"/>
        </w:rPr>
      </w:pPr>
      <w:r w:rsidRPr="008B1651">
        <w:rPr>
          <w:sz w:val="20"/>
          <w:szCs w:val="20"/>
        </w:rPr>
        <w:t>[8] The Apache Software Foundation, "Apache CloudStack: Open Source Cloud Computing." Disponible: https://cloudstack.apache.org/</w:t>
      </w:r>
    </w:p>
    <w:p w14:paraId="5ECE50C2" w14:textId="77777777" w:rsidR="0071129C" w:rsidRPr="0071129C" w:rsidRDefault="0071129C" w:rsidP="0071129C">
      <w:pPr>
        <w:spacing w:after="80"/>
        <w:ind w:left="227" w:hanging="227"/>
        <w:jc w:val="both"/>
        <w:rPr>
          <w:sz w:val="20"/>
          <w:szCs w:val="20"/>
          <w:lang w:val="es-AR"/>
        </w:rPr>
      </w:pPr>
      <w:r w:rsidRPr="008B1651">
        <w:rPr>
          <w:sz w:val="20"/>
          <w:szCs w:val="20"/>
        </w:rPr>
        <w:t xml:space="preserve">[9] OpenNebula Systems, "OpenNebula: Open Source Cloud &amp; Edge Computing Platform." </w:t>
      </w:r>
      <w:r w:rsidRPr="0071129C">
        <w:rPr>
          <w:sz w:val="20"/>
          <w:szCs w:val="20"/>
          <w:lang w:val="es-AR"/>
        </w:rPr>
        <w:t>Disponible: https://opennebula.io/</w:t>
      </w:r>
    </w:p>
    <w:p w14:paraId="2BFCFD4B" w14:textId="77777777" w:rsidR="0071129C" w:rsidRPr="008B1651" w:rsidRDefault="0071129C" w:rsidP="0071129C">
      <w:pPr>
        <w:spacing w:after="80"/>
        <w:ind w:left="227" w:hanging="227"/>
        <w:jc w:val="both"/>
        <w:rPr>
          <w:sz w:val="20"/>
          <w:szCs w:val="20"/>
        </w:rPr>
      </w:pPr>
      <w:r w:rsidRPr="0071129C">
        <w:rPr>
          <w:sz w:val="20"/>
          <w:szCs w:val="20"/>
          <w:lang w:val="es-AR"/>
        </w:rPr>
        <w:t xml:space="preserve">[10] R. Hernández Sampieri, C. Fernández Collado y M. P. Baptista Lucio, Metodología de la investigación, 6.a ed. </w:t>
      </w:r>
      <w:r w:rsidRPr="008B1651">
        <w:rPr>
          <w:sz w:val="20"/>
          <w:szCs w:val="20"/>
        </w:rPr>
        <w:t>México: McGraw-Hill, 2014.</w:t>
      </w:r>
    </w:p>
    <w:p w14:paraId="238DDF6B" w14:textId="77777777" w:rsidR="0071129C" w:rsidRPr="008B1651" w:rsidRDefault="0071129C" w:rsidP="0071129C">
      <w:pPr>
        <w:spacing w:after="80"/>
        <w:ind w:left="227" w:hanging="227"/>
        <w:jc w:val="both"/>
        <w:rPr>
          <w:sz w:val="20"/>
          <w:szCs w:val="20"/>
        </w:rPr>
      </w:pPr>
      <w:r w:rsidRPr="008B1651">
        <w:rPr>
          <w:sz w:val="20"/>
          <w:szCs w:val="20"/>
        </w:rPr>
        <w:t>[11] A. R. Hevner, S. T. March, J. Park y S. Ram, "Design Science in Information Systems Research," MIS Quarterly, vol. 28, n.o 1, pp. 75–105, 2004.</w:t>
      </w:r>
    </w:p>
    <w:p w14:paraId="14C0D60E" w14:textId="77777777" w:rsidR="0071129C" w:rsidRPr="008B1651" w:rsidRDefault="0071129C" w:rsidP="0071129C">
      <w:pPr>
        <w:spacing w:after="80"/>
        <w:ind w:left="227" w:hanging="227"/>
        <w:jc w:val="both"/>
        <w:rPr>
          <w:sz w:val="20"/>
          <w:szCs w:val="20"/>
        </w:rPr>
      </w:pPr>
      <w:r w:rsidRPr="008B1651">
        <w:rPr>
          <w:sz w:val="20"/>
          <w:szCs w:val="20"/>
        </w:rPr>
        <w:t>[12] K. Peffers, T. Tuunanen, M. A. Rothenberger y S. Chatterjee, "A Design Science Research Methodology for Information Systems Research," Journal of Management Information Systems, vol. 24, n.o 3, pp. 45–77, 2007.</w:t>
      </w:r>
    </w:p>
    <w:p w14:paraId="44E083D1" w14:textId="77777777" w:rsidR="0071129C" w:rsidRPr="008B1651" w:rsidRDefault="0071129C" w:rsidP="0071129C">
      <w:pPr>
        <w:spacing w:after="80"/>
        <w:ind w:left="227" w:hanging="227"/>
        <w:jc w:val="both"/>
        <w:rPr>
          <w:sz w:val="20"/>
          <w:szCs w:val="20"/>
        </w:rPr>
      </w:pPr>
      <w:r w:rsidRPr="0071129C">
        <w:rPr>
          <w:sz w:val="20"/>
          <w:szCs w:val="20"/>
          <w:lang w:val="es-AR"/>
        </w:rPr>
        <w:t xml:space="preserve">[13] J. Delors et al., La educación encierra un tesoro. Informe a la UNESCO de la Comisión Internacional sobre la Educación para el Siglo XXI. </w:t>
      </w:r>
      <w:r w:rsidRPr="008B1651">
        <w:rPr>
          <w:sz w:val="20"/>
          <w:szCs w:val="20"/>
        </w:rPr>
        <w:t>París: UNESCO, 1996.</w:t>
      </w:r>
    </w:p>
    <w:p w14:paraId="1F950DF7" w14:textId="77777777" w:rsidR="00647836" w:rsidRDefault="00647836" w:rsidP="00F07F0B">
      <w:pPr>
        <w:pStyle w:val="EstiloTextosinformatoTimesNewRoman12ptJustificado"/>
        <w:rPr>
          <w:rFonts w:eastAsia="CMS Y 7"/>
          <w:b/>
          <w:u w:val="single"/>
          <w:lang w:val="es-ES"/>
        </w:rPr>
        <w:sectPr w:rsidR="00647836" w:rsidSect="00CC785E">
          <w:type w:val="continuous"/>
          <w:pgSz w:w="11907" w:h="16840" w:code="9"/>
          <w:pgMar w:top="1418" w:right="1418" w:bottom="1418" w:left="1418" w:header="0" w:footer="0" w:gutter="0"/>
          <w:cols w:num="2" w:space="567"/>
          <w:docGrid w:linePitch="360"/>
        </w:sectPr>
      </w:pPr>
    </w:p>
    <w:p w14:paraId="5C0BC34D" w14:textId="77777777" w:rsidR="00F83C1C" w:rsidRPr="00440FCA" w:rsidRDefault="00F83C1C" w:rsidP="00F83C1C">
      <w:pPr>
        <w:pStyle w:val="EstiloTextosinformatoTimesNewRoman12ptJustificado"/>
        <w:rPr>
          <w:lang w:val="es-ES"/>
        </w:rPr>
      </w:pPr>
    </w:p>
    <w:sectPr w:rsidR="00F83C1C" w:rsidRPr="00440FCA" w:rsidSect="00CC785E">
      <w:type w:val="continuous"/>
      <w:pgSz w:w="11907" w:h="16840" w:code="9"/>
      <w:pgMar w:top="1418" w:right="1418" w:bottom="1418" w:left="1418" w:header="0" w:footer="0" w:gutter="0"/>
      <w:cols w:space="720" w:equalWidth="0">
        <w:col w:w="9071" w:space="708"/>
      </w:cols>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s>
  <wne:toolbars>
    <wne:acdManifest>
      <wne:acdEntry wne:acdName="acd0"/>
      <wne:acdEntry wne:acdName="acd1"/>
      <wne:acdEntry wne:acdName="acd2"/>
      <wne:acdEntry wne:acdName="acd3"/>
    </wne:acdManifest>
  </wne:toolbars>
  <wne:acds>
    <wne:acd wne:argValue="AgBFAHMAdABpAGwAbwAgAFQAZQB4AHQAbwAgAHMAaQBuACAAZgBvAHIAbQBhAHQAbwAgACsAIABU&#10;AGkAbQBlAHMAIABOAGUAdwAgAFIAbwBtAGEAbgAgAEMAdQByAHMAaQB2AGEAIABKAHUAcwB0AGkA&#10;ZgBpAGMAYQBkAG8A" wne:acdName="acd0" wne:fciIndexBasedOn="0065"/>
    <wne:acd wne:argValue="AgBFAHMAdABpAGwAbwAgAFQAZQB4AHQAbwAgAHMAaQBuACAAZgBvAHIAbQBhAHQAbwAgACsAIABU&#10;AGkAbQBlAHMAIABOAGUAdwAgAFIAbwBtAGEAbgAgAEoAdQBzAHQAaQBmAGkAYwBhAGQAbwA=" wne:acdName="acd1" wne:fciIndexBasedOn="0065"/>
    <wne:acd wne:argValue="AgBFAHMAdABpAGwAbwAgAFQAZQB4AHQAbwAgAHMAaQBuACAAZgBvAHIAbQBhAHQAbwAgACsAIABU&#10;AGkAbQBlAHMAIABOAGUAdwAgAFIAbwBtAGEAbgAgADEAMgAgAHAAdAAgAEoAdQBzAHQAaQBmAGkA&#10;YwBhAGQAbwA=" wne:acdName="acd2" wne:fciIndexBasedOn="0065"/>
    <wne:acd wne:argValue="AgBFAHMAdABpAGwAbwAgAFQAZQB4AHQAbwAgAHMAaQBuACAAZgBvAHIAbQBhAHQAbwAgACsAIABU&#10;AGkAbQBlAHMAIABOAGUAdwAgAFIAbwBtAGEAbgAgADkAIABwAHQAIABKAHUAcwB0AGkAZgBpAGMA&#10;YQBkAG8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299E" w14:textId="77777777" w:rsidR="00F931D9" w:rsidRDefault="00F931D9" w:rsidP="00EA6D09">
      <w:r>
        <w:separator/>
      </w:r>
    </w:p>
  </w:endnote>
  <w:endnote w:type="continuationSeparator" w:id="0">
    <w:p w14:paraId="4D00DED6" w14:textId="77777777" w:rsidR="00F931D9" w:rsidRDefault="00F931D9" w:rsidP="00EA6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Arial"/>
    <w:panose1 w:val="00000000000000000000"/>
    <w:charset w:val="00"/>
    <w:family w:val="swiss"/>
    <w:notTrueType/>
    <w:pitch w:val="default"/>
    <w:sig w:usb0="00000003" w:usb1="00000000" w:usb2="00000000" w:usb3="00000000" w:csb0="00000001" w:csb1="00000000"/>
  </w:font>
  <w:font w:name="CMS Y 7">
    <w:altName w:val="Arial Unicode MS"/>
    <w:panose1 w:val="00000000000000000000"/>
    <w:charset w:val="81"/>
    <w:family w:val="swiss"/>
    <w:notTrueType/>
    <w:pitch w:val="default"/>
    <w:sig w:usb0="00000001" w:usb1="09060000" w:usb2="00000010" w:usb3="00000000" w:csb0="0008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B3A3" w14:textId="77777777" w:rsidR="00F931D9" w:rsidRDefault="00F931D9" w:rsidP="00EA6D09">
      <w:r>
        <w:separator/>
      </w:r>
    </w:p>
  </w:footnote>
  <w:footnote w:type="continuationSeparator" w:id="0">
    <w:p w14:paraId="6A4997AA" w14:textId="77777777" w:rsidR="00F931D9" w:rsidRDefault="00F931D9" w:rsidP="00EA6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542"/>
    <w:multiLevelType w:val="hybridMultilevel"/>
    <w:tmpl w:val="DFE86D2A"/>
    <w:lvl w:ilvl="0" w:tplc="7542CD24">
      <w:start w:val="1"/>
      <w:numFmt w:val="bullet"/>
      <w:lvlText w:val="•"/>
      <w:lvlJc w:val="left"/>
      <w:pPr>
        <w:tabs>
          <w:tab w:val="num" w:pos="720"/>
        </w:tabs>
        <w:ind w:left="720" w:hanging="360"/>
      </w:pPr>
      <w:rPr>
        <w:rFonts w:ascii="Arial" w:hAnsi="Arial" w:hint="default"/>
      </w:rPr>
    </w:lvl>
    <w:lvl w:ilvl="1" w:tplc="63483320" w:tentative="1">
      <w:start w:val="1"/>
      <w:numFmt w:val="bullet"/>
      <w:lvlText w:val="•"/>
      <w:lvlJc w:val="left"/>
      <w:pPr>
        <w:tabs>
          <w:tab w:val="num" w:pos="1440"/>
        </w:tabs>
        <w:ind w:left="1440" w:hanging="360"/>
      </w:pPr>
      <w:rPr>
        <w:rFonts w:ascii="Arial" w:hAnsi="Arial" w:hint="default"/>
      </w:rPr>
    </w:lvl>
    <w:lvl w:ilvl="2" w:tplc="C722D56E" w:tentative="1">
      <w:start w:val="1"/>
      <w:numFmt w:val="bullet"/>
      <w:lvlText w:val="•"/>
      <w:lvlJc w:val="left"/>
      <w:pPr>
        <w:tabs>
          <w:tab w:val="num" w:pos="2160"/>
        </w:tabs>
        <w:ind w:left="2160" w:hanging="360"/>
      </w:pPr>
      <w:rPr>
        <w:rFonts w:ascii="Arial" w:hAnsi="Arial" w:hint="default"/>
      </w:rPr>
    </w:lvl>
    <w:lvl w:ilvl="3" w:tplc="60C61090" w:tentative="1">
      <w:start w:val="1"/>
      <w:numFmt w:val="bullet"/>
      <w:lvlText w:val="•"/>
      <w:lvlJc w:val="left"/>
      <w:pPr>
        <w:tabs>
          <w:tab w:val="num" w:pos="2880"/>
        </w:tabs>
        <w:ind w:left="2880" w:hanging="360"/>
      </w:pPr>
      <w:rPr>
        <w:rFonts w:ascii="Arial" w:hAnsi="Arial" w:hint="default"/>
      </w:rPr>
    </w:lvl>
    <w:lvl w:ilvl="4" w:tplc="A3AED2BC" w:tentative="1">
      <w:start w:val="1"/>
      <w:numFmt w:val="bullet"/>
      <w:lvlText w:val="•"/>
      <w:lvlJc w:val="left"/>
      <w:pPr>
        <w:tabs>
          <w:tab w:val="num" w:pos="3600"/>
        </w:tabs>
        <w:ind w:left="3600" w:hanging="360"/>
      </w:pPr>
      <w:rPr>
        <w:rFonts w:ascii="Arial" w:hAnsi="Arial" w:hint="default"/>
      </w:rPr>
    </w:lvl>
    <w:lvl w:ilvl="5" w:tplc="0AA0EE6C" w:tentative="1">
      <w:start w:val="1"/>
      <w:numFmt w:val="bullet"/>
      <w:lvlText w:val="•"/>
      <w:lvlJc w:val="left"/>
      <w:pPr>
        <w:tabs>
          <w:tab w:val="num" w:pos="4320"/>
        </w:tabs>
        <w:ind w:left="4320" w:hanging="360"/>
      </w:pPr>
      <w:rPr>
        <w:rFonts w:ascii="Arial" w:hAnsi="Arial" w:hint="default"/>
      </w:rPr>
    </w:lvl>
    <w:lvl w:ilvl="6" w:tplc="27FA0988" w:tentative="1">
      <w:start w:val="1"/>
      <w:numFmt w:val="bullet"/>
      <w:lvlText w:val="•"/>
      <w:lvlJc w:val="left"/>
      <w:pPr>
        <w:tabs>
          <w:tab w:val="num" w:pos="5040"/>
        </w:tabs>
        <w:ind w:left="5040" w:hanging="360"/>
      </w:pPr>
      <w:rPr>
        <w:rFonts w:ascii="Arial" w:hAnsi="Arial" w:hint="default"/>
      </w:rPr>
    </w:lvl>
    <w:lvl w:ilvl="7" w:tplc="01928428" w:tentative="1">
      <w:start w:val="1"/>
      <w:numFmt w:val="bullet"/>
      <w:lvlText w:val="•"/>
      <w:lvlJc w:val="left"/>
      <w:pPr>
        <w:tabs>
          <w:tab w:val="num" w:pos="5760"/>
        </w:tabs>
        <w:ind w:left="5760" w:hanging="360"/>
      </w:pPr>
      <w:rPr>
        <w:rFonts w:ascii="Arial" w:hAnsi="Arial" w:hint="default"/>
      </w:rPr>
    </w:lvl>
    <w:lvl w:ilvl="8" w:tplc="88F6E7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F61126"/>
    <w:multiLevelType w:val="hybridMultilevel"/>
    <w:tmpl w:val="09C05480"/>
    <w:lvl w:ilvl="0" w:tplc="065EC25C">
      <w:start w:val="1"/>
      <w:numFmt w:val="bullet"/>
      <w:lvlText w:val="•"/>
      <w:lvlJc w:val="left"/>
      <w:pPr>
        <w:tabs>
          <w:tab w:val="num" w:pos="720"/>
        </w:tabs>
        <w:ind w:left="720" w:hanging="360"/>
      </w:pPr>
      <w:rPr>
        <w:rFonts w:ascii="Arial" w:hAnsi="Arial" w:hint="default"/>
      </w:rPr>
    </w:lvl>
    <w:lvl w:ilvl="1" w:tplc="C248F9EE" w:tentative="1">
      <w:start w:val="1"/>
      <w:numFmt w:val="bullet"/>
      <w:lvlText w:val="•"/>
      <w:lvlJc w:val="left"/>
      <w:pPr>
        <w:tabs>
          <w:tab w:val="num" w:pos="1440"/>
        </w:tabs>
        <w:ind w:left="1440" w:hanging="360"/>
      </w:pPr>
      <w:rPr>
        <w:rFonts w:ascii="Arial" w:hAnsi="Arial" w:hint="default"/>
      </w:rPr>
    </w:lvl>
    <w:lvl w:ilvl="2" w:tplc="BFE8AA7C" w:tentative="1">
      <w:start w:val="1"/>
      <w:numFmt w:val="bullet"/>
      <w:lvlText w:val="•"/>
      <w:lvlJc w:val="left"/>
      <w:pPr>
        <w:tabs>
          <w:tab w:val="num" w:pos="2160"/>
        </w:tabs>
        <w:ind w:left="2160" w:hanging="360"/>
      </w:pPr>
      <w:rPr>
        <w:rFonts w:ascii="Arial" w:hAnsi="Arial" w:hint="default"/>
      </w:rPr>
    </w:lvl>
    <w:lvl w:ilvl="3" w:tplc="ED7AEBA8" w:tentative="1">
      <w:start w:val="1"/>
      <w:numFmt w:val="bullet"/>
      <w:lvlText w:val="•"/>
      <w:lvlJc w:val="left"/>
      <w:pPr>
        <w:tabs>
          <w:tab w:val="num" w:pos="2880"/>
        </w:tabs>
        <w:ind w:left="2880" w:hanging="360"/>
      </w:pPr>
      <w:rPr>
        <w:rFonts w:ascii="Arial" w:hAnsi="Arial" w:hint="default"/>
      </w:rPr>
    </w:lvl>
    <w:lvl w:ilvl="4" w:tplc="2772BBC0" w:tentative="1">
      <w:start w:val="1"/>
      <w:numFmt w:val="bullet"/>
      <w:lvlText w:val="•"/>
      <w:lvlJc w:val="left"/>
      <w:pPr>
        <w:tabs>
          <w:tab w:val="num" w:pos="3600"/>
        </w:tabs>
        <w:ind w:left="3600" w:hanging="360"/>
      </w:pPr>
      <w:rPr>
        <w:rFonts w:ascii="Arial" w:hAnsi="Arial" w:hint="default"/>
      </w:rPr>
    </w:lvl>
    <w:lvl w:ilvl="5" w:tplc="3F1CA716" w:tentative="1">
      <w:start w:val="1"/>
      <w:numFmt w:val="bullet"/>
      <w:lvlText w:val="•"/>
      <w:lvlJc w:val="left"/>
      <w:pPr>
        <w:tabs>
          <w:tab w:val="num" w:pos="4320"/>
        </w:tabs>
        <w:ind w:left="4320" w:hanging="360"/>
      </w:pPr>
      <w:rPr>
        <w:rFonts w:ascii="Arial" w:hAnsi="Arial" w:hint="default"/>
      </w:rPr>
    </w:lvl>
    <w:lvl w:ilvl="6" w:tplc="A4FE2886" w:tentative="1">
      <w:start w:val="1"/>
      <w:numFmt w:val="bullet"/>
      <w:lvlText w:val="•"/>
      <w:lvlJc w:val="left"/>
      <w:pPr>
        <w:tabs>
          <w:tab w:val="num" w:pos="5040"/>
        </w:tabs>
        <w:ind w:left="5040" w:hanging="360"/>
      </w:pPr>
      <w:rPr>
        <w:rFonts w:ascii="Arial" w:hAnsi="Arial" w:hint="default"/>
      </w:rPr>
    </w:lvl>
    <w:lvl w:ilvl="7" w:tplc="0318F0EE" w:tentative="1">
      <w:start w:val="1"/>
      <w:numFmt w:val="bullet"/>
      <w:lvlText w:val="•"/>
      <w:lvlJc w:val="left"/>
      <w:pPr>
        <w:tabs>
          <w:tab w:val="num" w:pos="5760"/>
        </w:tabs>
        <w:ind w:left="5760" w:hanging="360"/>
      </w:pPr>
      <w:rPr>
        <w:rFonts w:ascii="Arial" w:hAnsi="Arial" w:hint="default"/>
      </w:rPr>
    </w:lvl>
    <w:lvl w:ilvl="8" w:tplc="6B4EFB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3C5241"/>
    <w:multiLevelType w:val="hybridMultilevel"/>
    <w:tmpl w:val="8274284E"/>
    <w:lvl w:ilvl="0" w:tplc="9D927F1E">
      <w:start w:val="1"/>
      <w:numFmt w:val="bullet"/>
      <w:lvlText w:val="•"/>
      <w:lvlJc w:val="left"/>
      <w:pPr>
        <w:tabs>
          <w:tab w:val="num" w:pos="720"/>
        </w:tabs>
        <w:ind w:left="720" w:hanging="360"/>
      </w:pPr>
      <w:rPr>
        <w:rFonts w:ascii="Arial" w:hAnsi="Arial" w:hint="default"/>
      </w:rPr>
    </w:lvl>
    <w:lvl w:ilvl="1" w:tplc="450C722E" w:tentative="1">
      <w:start w:val="1"/>
      <w:numFmt w:val="bullet"/>
      <w:lvlText w:val="•"/>
      <w:lvlJc w:val="left"/>
      <w:pPr>
        <w:tabs>
          <w:tab w:val="num" w:pos="1440"/>
        </w:tabs>
        <w:ind w:left="1440" w:hanging="360"/>
      </w:pPr>
      <w:rPr>
        <w:rFonts w:ascii="Arial" w:hAnsi="Arial" w:hint="default"/>
      </w:rPr>
    </w:lvl>
    <w:lvl w:ilvl="2" w:tplc="B7C80994" w:tentative="1">
      <w:start w:val="1"/>
      <w:numFmt w:val="bullet"/>
      <w:lvlText w:val="•"/>
      <w:lvlJc w:val="left"/>
      <w:pPr>
        <w:tabs>
          <w:tab w:val="num" w:pos="2160"/>
        </w:tabs>
        <w:ind w:left="2160" w:hanging="360"/>
      </w:pPr>
      <w:rPr>
        <w:rFonts w:ascii="Arial" w:hAnsi="Arial" w:hint="default"/>
      </w:rPr>
    </w:lvl>
    <w:lvl w:ilvl="3" w:tplc="CA8847FC" w:tentative="1">
      <w:start w:val="1"/>
      <w:numFmt w:val="bullet"/>
      <w:lvlText w:val="•"/>
      <w:lvlJc w:val="left"/>
      <w:pPr>
        <w:tabs>
          <w:tab w:val="num" w:pos="2880"/>
        </w:tabs>
        <w:ind w:left="2880" w:hanging="360"/>
      </w:pPr>
      <w:rPr>
        <w:rFonts w:ascii="Arial" w:hAnsi="Arial" w:hint="default"/>
      </w:rPr>
    </w:lvl>
    <w:lvl w:ilvl="4" w:tplc="F72CDDB8" w:tentative="1">
      <w:start w:val="1"/>
      <w:numFmt w:val="bullet"/>
      <w:lvlText w:val="•"/>
      <w:lvlJc w:val="left"/>
      <w:pPr>
        <w:tabs>
          <w:tab w:val="num" w:pos="3600"/>
        </w:tabs>
        <w:ind w:left="3600" w:hanging="360"/>
      </w:pPr>
      <w:rPr>
        <w:rFonts w:ascii="Arial" w:hAnsi="Arial" w:hint="default"/>
      </w:rPr>
    </w:lvl>
    <w:lvl w:ilvl="5" w:tplc="8A8EFB2E" w:tentative="1">
      <w:start w:val="1"/>
      <w:numFmt w:val="bullet"/>
      <w:lvlText w:val="•"/>
      <w:lvlJc w:val="left"/>
      <w:pPr>
        <w:tabs>
          <w:tab w:val="num" w:pos="4320"/>
        </w:tabs>
        <w:ind w:left="4320" w:hanging="360"/>
      </w:pPr>
      <w:rPr>
        <w:rFonts w:ascii="Arial" w:hAnsi="Arial" w:hint="default"/>
      </w:rPr>
    </w:lvl>
    <w:lvl w:ilvl="6" w:tplc="A134F244" w:tentative="1">
      <w:start w:val="1"/>
      <w:numFmt w:val="bullet"/>
      <w:lvlText w:val="•"/>
      <w:lvlJc w:val="left"/>
      <w:pPr>
        <w:tabs>
          <w:tab w:val="num" w:pos="5040"/>
        </w:tabs>
        <w:ind w:left="5040" w:hanging="360"/>
      </w:pPr>
      <w:rPr>
        <w:rFonts w:ascii="Arial" w:hAnsi="Arial" w:hint="default"/>
      </w:rPr>
    </w:lvl>
    <w:lvl w:ilvl="7" w:tplc="CE8C6A60" w:tentative="1">
      <w:start w:val="1"/>
      <w:numFmt w:val="bullet"/>
      <w:lvlText w:val="•"/>
      <w:lvlJc w:val="left"/>
      <w:pPr>
        <w:tabs>
          <w:tab w:val="num" w:pos="5760"/>
        </w:tabs>
        <w:ind w:left="5760" w:hanging="360"/>
      </w:pPr>
      <w:rPr>
        <w:rFonts w:ascii="Arial" w:hAnsi="Arial" w:hint="default"/>
      </w:rPr>
    </w:lvl>
    <w:lvl w:ilvl="8" w:tplc="4992FD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DA5438"/>
    <w:multiLevelType w:val="hybridMultilevel"/>
    <w:tmpl w:val="BC662CA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4C4DF7"/>
    <w:multiLevelType w:val="hybridMultilevel"/>
    <w:tmpl w:val="A5309820"/>
    <w:lvl w:ilvl="0" w:tplc="8DE04AD0">
      <w:start w:val="1"/>
      <w:numFmt w:val="bullet"/>
      <w:lvlText w:val="•"/>
      <w:lvlJc w:val="left"/>
      <w:pPr>
        <w:tabs>
          <w:tab w:val="num" w:pos="720"/>
        </w:tabs>
        <w:ind w:left="720" w:hanging="360"/>
      </w:pPr>
      <w:rPr>
        <w:rFonts w:ascii="Arial" w:hAnsi="Arial" w:hint="default"/>
      </w:rPr>
    </w:lvl>
    <w:lvl w:ilvl="1" w:tplc="69A42B24" w:tentative="1">
      <w:start w:val="1"/>
      <w:numFmt w:val="bullet"/>
      <w:lvlText w:val="•"/>
      <w:lvlJc w:val="left"/>
      <w:pPr>
        <w:tabs>
          <w:tab w:val="num" w:pos="1440"/>
        </w:tabs>
        <w:ind w:left="1440" w:hanging="360"/>
      </w:pPr>
      <w:rPr>
        <w:rFonts w:ascii="Arial" w:hAnsi="Arial" w:hint="default"/>
      </w:rPr>
    </w:lvl>
    <w:lvl w:ilvl="2" w:tplc="48B8122A" w:tentative="1">
      <w:start w:val="1"/>
      <w:numFmt w:val="bullet"/>
      <w:lvlText w:val="•"/>
      <w:lvlJc w:val="left"/>
      <w:pPr>
        <w:tabs>
          <w:tab w:val="num" w:pos="2160"/>
        </w:tabs>
        <w:ind w:left="2160" w:hanging="360"/>
      </w:pPr>
      <w:rPr>
        <w:rFonts w:ascii="Arial" w:hAnsi="Arial" w:hint="default"/>
      </w:rPr>
    </w:lvl>
    <w:lvl w:ilvl="3" w:tplc="34A650DA" w:tentative="1">
      <w:start w:val="1"/>
      <w:numFmt w:val="bullet"/>
      <w:lvlText w:val="•"/>
      <w:lvlJc w:val="left"/>
      <w:pPr>
        <w:tabs>
          <w:tab w:val="num" w:pos="2880"/>
        </w:tabs>
        <w:ind w:left="2880" w:hanging="360"/>
      </w:pPr>
      <w:rPr>
        <w:rFonts w:ascii="Arial" w:hAnsi="Arial" w:hint="default"/>
      </w:rPr>
    </w:lvl>
    <w:lvl w:ilvl="4" w:tplc="53B80D88" w:tentative="1">
      <w:start w:val="1"/>
      <w:numFmt w:val="bullet"/>
      <w:lvlText w:val="•"/>
      <w:lvlJc w:val="left"/>
      <w:pPr>
        <w:tabs>
          <w:tab w:val="num" w:pos="3600"/>
        </w:tabs>
        <w:ind w:left="3600" w:hanging="360"/>
      </w:pPr>
      <w:rPr>
        <w:rFonts w:ascii="Arial" w:hAnsi="Arial" w:hint="default"/>
      </w:rPr>
    </w:lvl>
    <w:lvl w:ilvl="5" w:tplc="58D0A30E" w:tentative="1">
      <w:start w:val="1"/>
      <w:numFmt w:val="bullet"/>
      <w:lvlText w:val="•"/>
      <w:lvlJc w:val="left"/>
      <w:pPr>
        <w:tabs>
          <w:tab w:val="num" w:pos="4320"/>
        </w:tabs>
        <w:ind w:left="4320" w:hanging="360"/>
      </w:pPr>
      <w:rPr>
        <w:rFonts w:ascii="Arial" w:hAnsi="Arial" w:hint="default"/>
      </w:rPr>
    </w:lvl>
    <w:lvl w:ilvl="6" w:tplc="E474C1F2" w:tentative="1">
      <w:start w:val="1"/>
      <w:numFmt w:val="bullet"/>
      <w:lvlText w:val="•"/>
      <w:lvlJc w:val="left"/>
      <w:pPr>
        <w:tabs>
          <w:tab w:val="num" w:pos="5040"/>
        </w:tabs>
        <w:ind w:left="5040" w:hanging="360"/>
      </w:pPr>
      <w:rPr>
        <w:rFonts w:ascii="Arial" w:hAnsi="Arial" w:hint="default"/>
      </w:rPr>
    </w:lvl>
    <w:lvl w:ilvl="7" w:tplc="0FE0422E" w:tentative="1">
      <w:start w:val="1"/>
      <w:numFmt w:val="bullet"/>
      <w:lvlText w:val="•"/>
      <w:lvlJc w:val="left"/>
      <w:pPr>
        <w:tabs>
          <w:tab w:val="num" w:pos="5760"/>
        </w:tabs>
        <w:ind w:left="5760" w:hanging="360"/>
      </w:pPr>
      <w:rPr>
        <w:rFonts w:ascii="Arial" w:hAnsi="Arial" w:hint="default"/>
      </w:rPr>
    </w:lvl>
    <w:lvl w:ilvl="8" w:tplc="5192AD8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6A5734C"/>
    <w:multiLevelType w:val="hybridMultilevel"/>
    <w:tmpl w:val="D0F839F4"/>
    <w:lvl w:ilvl="0" w:tplc="9EB29202">
      <w:start w:val="1"/>
      <w:numFmt w:val="bullet"/>
      <w:lvlText w:val="•"/>
      <w:lvlJc w:val="left"/>
      <w:pPr>
        <w:tabs>
          <w:tab w:val="num" w:pos="720"/>
        </w:tabs>
        <w:ind w:left="720" w:hanging="360"/>
      </w:pPr>
      <w:rPr>
        <w:rFonts w:ascii="Arial" w:hAnsi="Arial" w:hint="default"/>
      </w:rPr>
    </w:lvl>
    <w:lvl w:ilvl="1" w:tplc="C5608106" w:tentative="1">
      <w:start w:val="1"/>
      <w:numFmt w:val="bullet"/>
      <w:lvlText w:val="•"/>
      <w:lvlJc w:val="left"/>
      <w:pPr>
        <w:tabs>
          <w:tab w:val="num" w:pos="1440"/>
        </w:tabs>
        <w:ind w:left="1440" w:hanging="360"/>
      </w:pPr>
      <w:rPr>
        <w:rFonts w:ascii="Arial" w:hAnsi="Arial" w:hint="default"/>
      </w:rPr>
    </w:lvl>
    <w:lvl w:ilvl="2" w:tplc="219A66F6" w:tentative="1">
      <w:start w:val="1"/>
      <w:numFmt w:val="bullet"/>
      <w:lvlText w:val="•"/>
      <w:lvlJc w:val="left"/>
      <w:pPr>
        <w:tabs>
          <w:tab w:val="num" w:pos="2160"/>
        </w:tabs>
        <w:ind w:left="2160" w:hanging="360"/>
      </w:pPr>
      <w:rPr>
        <w:rFonts w:ascii="Arial" w:hAnsi="Arial" w:hint="default"/>
      </w:rPr>
    </w:lvl>
    <w:lvl w:ilvl="3" w:tplc="40C65918" w:tentative="1">
      <w:start w:val="1"/>
      <w:numFmt w:val="bullet"/>
      <w:lvlText w:val="•"/>
      <w:lvlJc w:val="left"/>
      <w:pPr>
        <w:tabs>
          <w:tab w:val="num" w:pos="2880"/>
        </w:tabs>
        <w:ind w:left="2880" w:hanging="360"/>
      </w:pPr>
      <w:rPr>
        <w:rFonts w:ascii="Arial" w:hAnsi="Arial" w:hint="default"/>
      </w:rPr>
    </w:lvl>
    <w:lvl w:ilvl="4" w:tplc="45448E78" w:tentative="1">
      <w:start w:val="1"/>
      <w:numFmt w:val="bullet"/>
      <w:lvlText w:val="•"/>
      <w:lvlJc w:val="left"/>
      <w:pPr>
        <w:tabs>
          <w:tab w:val="num" w:pos="3600"/>
        </w:tabs>
        <w:ind w:left="3600" w:hanging="360"/>
      </w:pPr>
      <w:rPr>
        <w:rFonts w:ascii="Arial" w:hAnsi="Arial" w:hint="default"/>
      </w:rPr>
    </w:lvl>
    <w:lvl w:ilvl="5" w:tplc="13CCEBB2" w:tentative="1">
      <w:start w:val="1"/>
      <w:numFmt w:val="bullet"/>
      <w:lvlText w:val="•"/>
      <w:lvlJc w:val="left"/>
      <w:pPr>
        <w:tabs>
          <w:tab w:val="num" w:pos="4320"/>
        </w:tabs>
        <w:ind w:left="4320" w:hanging="360"/>
      </w:pPr>
      <w:rPr>
        <w:rFonts w:ascii="Arial" w:hAnsi="Arial" w:hint="default"/>
      </w:rPr>
    </w:lvl>
    <w:lvl w:ilvl="6" w:tplc="8B2A515E" w:tentative="1">
      <w:start w:val="1"/>
      <w:numFmt w:val="bullet"/>
      <w:lvlText w:val="•"/>
      <w:lvlJc w:val="left"/>
      <w:pPr>
        <w:tabs>
          <w:tab w:val="num" w:pos="5040"/>
        </w:tabs>
        <w:ind w:left="5040" w:hanging="360"/>
      </w:pPr>
      <w:rPr>
        <w:rFonts w:ascii="Arial" w:hAnsi="Arial" w:hint="default"/>
      </w:rPr>
    </w:lvl>
    <w:lvl w:ilvl="7" w:tplc="DAF6B93A" w:tentative="1">
      <w:start w:val="1"/>
      <w:numFmt w:val="bullet"/>
      <w:lvlText w:val="•"/>
      <w:lvlJc w:val="left"/>
      <w:pPr>
        <w:tabs>
          <w:tab w:val="num" w:pos="5760"/>
        </w:tabs>
        <w:ind w:left="5760" w:hanging="360"/>
      </w:pPr>
      <w:rPr>
        <w:rFonts w:ascii="Arial" w:hAnsi="Arial" w:hint="default"/>
      </w:rPr>
    </w:lvl>
    <w:lvl w:ilvl="8" w:tplc="8C7ABB6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8BD3B06"/>
    <w:multiLevelType w:val="hybridMultilevel"/>
    <w:tmpl w:val="22543998"/>
    <w:lvl w:ilvl="0" w:tplc="CAD26FD4">
      <w:start w:val="1"/>
      <w:numFmt w:val="bullet"/>
      <w:lvlText w:val="•"/>
      <w:lvlJc w:val="left"/>
      <w:pPr>
        <w:tabs>
          <w:tab w:val="num" w:pos="720"/>
        </w:tabs>
        <w:ind w:left="720" w:hanging="360"/>
      </w:pPr>
      <w:rPr>
        <w:rFonts w:ascii="Arial" w:hAnsi="Arial" w:hint="default"/>
      </w:rPr>
    </w:lvl>
    <w:lvl w:ilvl="1" w:tplc="740EDCB6" w:tentative="1">
      <w:start w:val="1"/>
      <w:numFmt w:val="bullet"/>
      <w:lvlText w:val="•"/>
      <w:lvlJc w:val="left"/>
      <w:pPr>
        <w:tabs>
          <w:tab w:val="num" w:pos="1440"/>
        </w:tabs>
        <w:ind w:left="1440" w:hanging="360"/>
      </w:pPr>
      <w:rPr>
        <w:rFonts w:ascii="Arial" w:hAnsi="Arial" w:hint="default"/>
      </w:rPr>
    </w:lvl>
    <w:lvl w:ilvl="2" w:tplc="CC627226" w:tentative="1">
      <w:start w:val="1"/>
      <w:numFmt w:val="bullet"/>
      <w:lvlText w:val="•"/>
      <w:lvlJc w:val="left"/>
      <w:pPr>
        <w:tabs>
          <w:tab w:val="num" w:pos="2160"/>
        </w:tabs>
        <w:ind w:left="2160" w:hanging="360"/>
      </w:pPr>
      <w:rPr>
        <w:rFonts w:ascii="Arial" w:hAnsi="Arial" w:hint="default"/>
      </w:rPr>
    </w:lvl>
    <w:lvl w:ilvl="3" w:tplc="B94ABE52" w:tentative="1">
      <w:start w:val="1"/>
      <w:numFmt w:val="bullet"/>
      <w:lvlText w:val="•"/>
      <w:lvlJc w:val="left"/>
      <w:pPr>
        <w:tabs>
          <w:tab w:val="num" w:pos="2880"/>
        </w:tabs>
        <w:ind w:left="2880" w:hanging="360"/>
      </w:pPr>
      <w:rPr>
        <w:rFonts w:ascii="Arial" w:hAnsi="Arial" w:hint="default"/>
      </w:rPr>
    </w:lvl>
    <w:lvl w:ilvl="4" w:tplc="FB9AF404" w:tentative="1">
      <w:start w:val="1"/>
      <w:numFmt w:val="bullet"/>
      <w:lvlText w:val="•"/>
      <w:lvlJc w:val="left"/>
      <w:pPr>
        <w:tabs>
          <w:tab w:val="num" w:pos="3600"/>
        </w:tabs>
        <w:ind w:left="3600" w:hanging="360"/>
      </w:pPr>
      <w:rPr>
        <w:rFonts w:ascii="Arial" w:hAnsi="Arial" w:hint="default"/>
      </w:rPr>
    </w:lvl>
    <w:lvl w:ilvl="5" w:tplc="DEF61BB8" w:tentative="1">
      <w:start w:val="1"/>
      <w:numFmt w:val="bullet"/>
      <w:lvlText w:val="•"/>
      <w:lvlJc w:val="left"/>
      <w:pPr>
        <w:tabs>
          <w:tab w:val="num" w:pos="4320"/>
        </w:tabs>
        <w:ind w:left="4320" w:hanging="360"/>
      </w:pPr>
      <w:rPr>
        <w:rFonts w:ascii="Arial" w:hAnsi="Arial" w:hint="default"/>
      </w:rPr>
    </w:lvl>
    <w:lvl w:ilvl="6" w:tplc="A4EEE418" w:tentative="1">
      <w:start w:val="1"/>
      <w:numFmt w:val="bullet"/>
      <w:lvlText w:val="•"/>
      <w:lvlJc w:val="left"/>
      <w:pPr>
        <w:tabs>
          <w:tab w:val="num" w:pos="5040"/>
        </w:tabs>
        <w:ind w:left="5040" w:hanging="360"/>
      </w:pPr>
      <w:rPr>
        <w:rFonts w:ascii="Arial" w:hAnsi="Arial" w:hint="default"/>
      </w:rPr>
    </w:lvl>
    <w:lvl w:ilvl="7" w:tplc="02B07818" w:tentative="1">
      <w:start w:val="1"/>
      <w:numFmt w:val="bullet"/>
      <w:lvlText w:val="•"/>
      <w:lvlJc w:val="left"/>
      <w:pPr>
        <w:tabs>
          <w:tab w:val="num" w:pos="5760"/>
        </w:tabs>
        <w:ind w:left="5760" w:hanging="360"/>
      </w:pPr>
      <w:rPr>
        <w:rFonts w:ascii="Arial" w:hAnsi="Arial" w:hint="default"/>
      </w:rPr>
    </w:lvl>
    <w:lvl w:ilvl="8" w:tplc="8EFAB868" w:tentative="1">
      <w:start w:val="1"/>
      <w:numFmt w:val="bullet"/>
      <w:lvlText w:val="•"/>
      <w:lvlJc w:val="left"/>
      <w:pPr>
        <w:tabs>
          <w:tab w:val="num" w:pos="6480"/>
        </w:tabs>
        <w:ind w:left="6480" w:hanging="360"/>
      </w:pPr>
      <w:rPr>
        <w:rFonts w:ascii="Arial" w:hAnsi="Arial" w:hint="default"/>
      </w:rPr>
    </w:lvl>
  </w:abstractNum>
  <w:num w:numId="1" w16cid:durableId="58676769">
    <w:abstractNumId w:val="3"/>
  </w:num>
  <w:num w:numId="2" w16cid:durableId="1764952436">
    <w:abstractNumId w:val="0"/>
  </w:num>
  <w:num w:numId="3" w16cid:durableId="1701855265">
    <w:abstractNumId w:val="2"/>
  </w:num>
  <w:num w:numId="4" w16cid:durableId="2019578278">
    <w:abstractNumId w:val="6"/>
  </w:num>
  <w:num w:numId="5" w16cid:durableId="638613719">
    <w:abstractNumId w:val="1"/>
  </w:num>
  <w:num w:numId="6" w16cid:durableId="728967085">
    <w:abstractNumId w:val="5"/>
  </w:num>
  <w:num w:numId="7" w16cid:durableId="1152214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13B"/>
    <w:rsid w:val="00085A1F"/>
    <w:rsid w:val="000C332D"/>
    <w:rsid w:val="001118E1"/>
    <w:rsid w:val="001228C8"/>
    <w:rsid w:val="00137AE7"/>
    <w:rsid w:val="001706D8"/>
    <w:rsid w:val="00230DE6"/>
    <w:rsid w:val="00247F05"/>
    <w:rsid w:val="002C6DDC"/>
    <w:rsid w:val="002F19FD"/>
    <w:rsid w:val="0032288A"/>
    <w:rsid w:val="00332DCC"/>
    <w:rsid w:val="00333182"/>
    <w:rsid w:val="00342195"/>
    <w:rsid w:val="003725E3"/>
    <w:rsid w:val="00423ACA"/>
    <w:rsid w:val="004307FC"/>
    <w:rsid w:val="00440FCA"/>
    <w:rsid w:val="00443E8A"/>
    <w:rsid w:val="004845C8"/>
    <w:rsid w:val="005119A7"/>
    <w:rsid w:val="0054713B"/>
    <w:rsid w:val="00583A88"/>
    <w:rsid w:val="005E5C1E"/>
    <w:rsid w:val="00647836"/>
    <w:rsid w:val="006D46C0"/>
    <w:rsid w:val="00701FC9"/>
    <w:rsid w:val="0071129C"/>
    <w:rsid w:val="00712779"/>
    <w:rsid w:val="007C0F6B"/>
    <w:rsid w:val="00841376"/>
    <w:rsid w:val="00861522"/>
    <w:rsid w:val="008741E2"/>
    <w:rsid w:val="0087535D"/>
    <w:rsid w:val="008776AE"/>
    <w:rsid w:val="008D1A8F"/>
    <w:rsid w:val="008F1C72"/>
    <w:rsid w:val="008F4C04"/>
    <w:rsid w:val="008F53C2"/>
    <w:rsid w:val="00935974"/>
    <w:rsid w:val="009931BE"/>
    <w:rsid w:val="00A436F0"/>
    <w:rsid w:val="00A51130"/>
    <w:rsid w:val="00AF0D34"/>
    <w:rsid w:val="00B85D4A"/>
    <w:rsid w:val="00BB4E4D"/>
    <w:rsid w:val="00BD4176"/>
    <w:rsid w:val="00BD7107"/>
    <w:rsid w:val="00C113CC"/>
    <w:rsid w:val="00C17993"/>
    <w:rsid w:val="00C671CB"/>
    <w:rsid w:val="00C85087"/>
    <w:rsid w:val="00C943F3"/>
    <w:rsid w:val="00C9718B"/>
    <w:rsid w:val="00CC785E"/>
    <w:rsid w:val="00CF47DA"/>
    <w:rsid w:val="00CF7440"/>
    <w:rsid w:val="00D11711"/>
    <w:rsid w:val="00D23152"/>
    <w:rsid w:val="00D239AE"/>
    <w:rsid w:val="00D42F68"/>
    <w:rsid w:val="00D556C9"/>
    <w:rsid w:val="00D62D7F"/>
    <w:rsid w:val="00DC52E7"/>
    <w:rsid w:val="00E12DF2"/>
    <w:rsid w:val="00E63B03"/>
    <w:rsid w:val="00EA6D09"/>
    <w:rsid w:val="00EC5C7D"/>
    <w:rsid w:val="00F07F0B"/>
    <w:rsid w:val="00F83C1C"/>
    <w:rsid w:val="00F931D9"/>
    <w:rsid w:val="00F9558E"/>
    <w:rsid w:val="00FB4559"/>
    <w:rsid w:val="00FC3D6A"/>
    <w:rsid w:val="00FE34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013F8"/>
  <w15:docId w15:val="{65DE97BA-BA55-47C1-893D-52AF03E1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713B"/>
    <w:rPr>
      <w:sz w:val="24"/>
      <w:szCs w:val="24"/>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rsid w:val="0054713B"/>
    <w:rPr>
      <w:rFonts w:ascii="Courier New" w:hAnsi="Courier New" w:cs="Courier New"/>
      <w:sz w:val="20"/>
      <w:szCs w:val="20"/>
    </w:rPr>
  </w:style>
  <w:style w:type="paragraph" w:customStyle="1" w:styleId="EstiloTextosinformatoTimesNewRomanCursivaJustificado">
    <w:name w:val="Estilo Texto sin formato + Times New Roman Cursiva Justificado"/>
    <w:basedOn w:val="Textosinformato"/>
    <w:rsid w:val="007C0F6B"/>
    <w:pPr>
      <w:jc w:val="both"/>
    </w:pPr>
    <w:rPr>
      <w:rFonts w:ascii="Times New Roman" w:hAnsi="Times New Roman" w:cs="Times New Roman"/>
      <w:i/>
      <w:iCs/>
    </w:rPr>
  </w:style>
  <w:style w:type="paragraph" w:customStyle="1" w:styleId="EstiloTextosinformatoTimesNewRomanJustificado">
    <w:name w:val="Estilo Texto sin formato + Times New Roman Justificado"/>
    <w:basedOn w:val="Textosinformato"/>
    <w:rsid w:val="002C6DDC"/>
    <w:pPr>
      <w:jc w:val="both"/>
    </w:pPr>
    <w:rPr>
      <w:rFonts w:ascii="Times New Roman" w:hAnsi="Times New Roman" w:cs="Times New Roman"/>
    </w:rPr>
  </w:style>
  <w:style w:type="paragraph" w:customStyle="1" w:styleId="EstiloTextosinformatoTimesNewRoman12ptJustificado">
    <w:name w:val="Estilo Texto sin formato + Times New Roman 12 pt Justificado"/>
    <w:basedOn w:val="Textosinformato"/>
    <w:rsid w:val="00C85087"/>
    <w:pPr>
      <w:jc w:val="both"/>
    </w:pPr>
    <w:rPr>
      <w:rFonts w:ascii="Times New Roman" w:hAnsi="Times New Roman" w:cs="Times New Roman"/>
      <w:sz w:val="24"/>
    </w:rPr>
  </w:style>
  <w:style w:type="paragraph" w:styleId="NormalWeb">
    <w:name w:val="Normal (Web)"/>
    <w:basedOn w:val="Normal"/>
    <w:uiPriority w:val="99"/>
    <w:rsid w:val="00BD7107"/>
    <w:pPr>
      <w:spacing w:before="100" w:beforeAutospacing="1" w:after="100" w:afterAutospacing="1"/>
    </w:pPr>
    <w:rPr>
      <w:lang w:val="es-ES" w:eastAsia="es-ES"/>
    </w:rPr>
  </w:style>
  <w:style w:type="paragraph" w:styleId="HTMLconformatoprevio">
    <w:name w:val="HTML Preformatted"/>
    <w:basedOn w:val="Normal"/>
    <w:rsid w:val="00BD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ES" w:eastAsia="es-ES"/>
    </w:rPr>
  </w:style>
  <w:style w:type="paragraph" w:customStyle="1" w:styleId="EstiloTextosinformatoTimesNewRoman9ptJustificado">
    <w:name w:val="Estilo Texto sin formato + Times New Roman 9 pt Justificado"/>
    <w:basedOn w:val="Textosinformato"/>
    <w:rsid w:val="00F9558E"/>
    <w:pPr>
      <w:jc w:val="both"/>
    </w:pPr>
    <w:rPr>
      <w:rFonts w:ascii="Times New Roman" w:hAnsi="Times New Roman" w:cs="Times New Roman"/>
      <w:sz w:val="18"/>
    </w:rPr>
  </w:style>
  <w:style w:type="paragraph" w:customStyle="1" w:styleId="CM8">
    <w:name w:val="CM8"/>
    <w:basedOn w:val="Normal"/>
    <w:next w:val="Normal"/>
    <w:rsid w:val="00F83C1C"/>
    <w:pPr>
      <w:widowControl w:val="0"/>
      <w:autoSpaceDE w:val="0"/>
      <w:autoSpaceDN w:val="0"/>
      <w:adjustRightInd w:val="0"/>
      <w:spacing w:after="365"/>
    </w:pPr>
    <w:rPr>
      <w:rFonts w:ascii="Nimbus Roman No9 L" w:hAnsi="Nimbus Roman No9 L" w:cs="Nimbus Roman No9 L"/>
      <w:lang w:val="es-ES" w:eastAsia="es-ES"/>
    </w:rPr>
  </w:style>
  <w:style w:type="paragraph" w:customStyle="1" w:styleId="CM9">
    <w:name w:val="CM9"/>
    <w:basedOn w:val="Normal"/>
    <w:next w:val="Normal"/>
    <w:rsid w:val="00F83C1C"/>
    <w:pPr>
      <w:widowControl w:val="0"/>
      <w:autoSpaceDE w:val="0"/>
      <w:autoSpaceDN w:val="0"/>
      <w:adjustRightInd w:val="0"/>
      <w:spacing w:after="248"/>
    </w:pPr>
    <w:rPr>
      <w:rFonts w:ascii="Nimbus Roman No9 L" w:hAnsi="Nimbus Roman No9 L" w:cs="Nimbus Roman No9 L"/>
      <w:lang w:val="es-ES" w:eastAsia="es-ES"/>
    </w:rPr>
  </w:style>
  <w:style w:type="paragraph" w:customStyle="1" w:styleId="Address">
    <w:name w:val="Address"/>
    <w:basedOn w:val="Normal"/>
    <w:rsid w:val="00D23152"/>
    <w:pPr>
      <w:tabs>
        <w:tab w:val="right" w:leader="dot" w:pos="9360"/>
      </w:tabs>
      <w:jc w:val="center"/>
    </w:pPr>
    <w:rPr>
      <w:i/>
      <w:iCs/>
      <w:szCs w:val="20"/>
    </w:rPr>
  </w:style>
  <w:style w:type="paragraph" w:styleId="Encabezado">
    <w:name w:val="header"/>
    <w:basedOn w:val="Normal"/>
    <w:link w:val="EncabezadoCar"/>
    <w:rsid w:val="00EA6D09"/>
    <w:pPr>
      <w:tabs>
        <w:tab w:val="center" w:pos="4252"/>
        <w:tab w:val="right" w:pos="8504"/>
      </w:tabs>
    </w:pPr>
  </w:style>
  <w:style w:type="character" w:customStyle="1" w:styleId="EncabezadoCar">
    <w:name w:val="Encabezado Car"/>
    <w:link w:val="Encabezado"/>
    <w:rsid w:val="00EA6D09"/>
    <w:rPr>
      <w:sz w:val="24"/>
      <w:szCs w:val="24"/>
      <w:lang w:val="en-US" w:eastAsia="en-US"/>
    </w:rPr>
  </w:style>
  <w:style w:type="paragraph" w:styleId="Piedepgina">
    <w:name w:val="footer"/>
    <w:basedOn w:val="Normal"/>
    <w:link w:val="PiedepginaCar"/>
    <w:rsid w:val="00EA6D09"/>
    <w:pPr>
      <w:tabs>
        <w:tab w:val="center" w:pos="4252"/>
        <w:tab w:val="right" w:pos="8504"/>
      </w:tabs>
    </w:pPr>
  </w:style>
  <w:style w:type="character" w:customStyle="1" w:styleId="PiedepginaCar">
    <w:name w:val="Pie de página Car"/>
    <w:link w:val="Piedepgina"/>
    <w:rsid w:val="00EA6D09"/>
    <w:rPr>
      <w:sz w:val="24"/>
      <w:szCs w:val="24"/>
      <w:lang w:val="en-US" w:eastAsia="en-US"/>
    </w:rPr>
  </w:style>
  <w:style w:type="paragraph" w:styleId="Prrafodelista">
    <w:name w:val="List Paragraph"/>
    <w:basedOn w:val="Normal"/>
    <w:uiPriority w:val="34"/>
    <w:qFormat/>
    <w:rsid w:val="00D42F68"/>
    <w:pPr>
      <w:ind w:left="720"/>
      <w:contextualSpacing/>
    </w:pPr>
    <w:rPr>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2750">
      <w:bodyDiv w:val="1"/>
      <w:marLeft w:val="0"/>
      <w:marRight w:val="0"/>
      <w:marTop w:val="0"/>
      <w:marBottom w:val="0"/>
      <w:divBdr>
        <w:top w:val="none" w:sz="0" w:space="0" w:color="auto"/>
        <w:left w:val="none" w:sz="0" w:space="0" w:color="auto"/>
        <w:bottom w:val="none" w:sz="0" w:space="0" w:color="auto"/>
        <w:right w:val="none" w:sz="0" w:space="0" w:color="auto"/>
      </w:divBdr>
    </w:div>
    <w:div w:id="141586156">
      <w:bodyDiv w:val="1"/>
      <w:marLeft w:val="0"/>
      <w:marRight w:val="0"/>
      <w:marTop w:val="0"/>
      <w:marBottom w:val="0"/>
      <w:divBdr>
        <w:top w:val="none" w:sz="0" w:space="0" w:color="auto"/>
        <w:left w:val="none" w:sz="0" w:space="0" w:color="auto"/>
        <w:bottom w:val="none" w:sz="0" w:space="0" w:color="auto"/>
        <w:right w:val="none" w:sz="0" w:space="0" w:color="auto"/>
      </w:divBdr>
    </w:div>
    <w:div w:id="174272041">
      <w:bodyDiv w:val="1"/>
      <w:marLeft w:val="0"/>
      <w:marRight w:val="0"/>
      <w:marTop w:val="0"/>
      <w:marBottom w:val="0"/>
      <w:divBdr>
        <w:top w:val="none" w:sz="0" w:space="0" w:color="auto"/>
        <w:left w:val="none" w:sz="0" w:space="0" w:color="auto"/>
        <w:bottom w:val="none" w:sz="0" w:space="0" w:color="auto"/>
        <w:right w:val="none" w:sz="0" w:space="0" w:color="auto"/>
      </w:divBdr>
    </w:div>
    <w:div w:id="308442188">
      <w:bodyDiv w:val="1"/>
      <w:marLeft w:val="0"/>
      <w:marRight w:val="0"/>
      <w:marTop w:val="0"/>
      <w:marBottom w:val="0"/>
      <w:divBdr>
        <w:top w:val="none" w:sz="0" w:space="0" w:color="auto"/>
        <w:left w:val="none" w:sz="0" w:space="0" w:color="auto"/>
        <w:bottom w:val="none" w:sz="0" w:space="0" w:color="auto"/>
        <w:right w:val="none" w:sz="0" w:space="0" w:color="auto"/>
      </w:divBdr>
    </w:div>
    <w:div w:id="639917996">
      <w:bodyDiv w:val="1"/>
      <w:marLeft w:val="0"/>
      <w:marRight w:val="0"/>
      <w:marTop w:val="0"/>
      <w:marBottom w:val="0"/>
      <w:divBdr>
        <w:top w:val="none" w:sz="0" w:space="0" w:color="auto"/>
        <w:left w:val="none" w:sz="0" w:space="0" w:color="auto"/>
        <w:bottom w:val="none" w:sz="0" w:space="0" w:color="auto"/>
        <w:right w:val="none" w:sz="0" w:space="0" w:color="auto"/>
      </w:divBdr>
    </w:div>
    <w:div w:id="830366841">
      <w:bodyDiv w:val="1"/>
      <w:marLeft w:val="0"/>
      <w:marRight w:val="0"/>
      <w:marTop w:val="0"/>
      <w:marBottom w:val="0"/>
      <w:divBdr>
        <w:top w:val="none" w:sz="0" w:space="0" w:color="auto"/>
        <w:left w:val="none" w:sz="0" w:space="0" w:color="auto"/>
        <w:bottom w:val="none" w:sz="0" w:space="0" w:color="auto"/>
        <w:right w:val="none" w:sz="0" w:space="0" w:color="auto"/>
      </w:divBdr>
      <w:divsChild>
        <w:div w:id="1647512915">
          <w:marLeft w:val="360"/>
          <w:marRight w:val="0"/>
          <w:marTop w:val="200"/>
          <w:marBottom w:val="0"/>
          <w:divBdr>
            <w:top w:val="none" w:sz="0" w:space="0" w:color="auto"/>
            <w:left w:val="none" w:sz="0" w:space="0" w:color="auto"/>
            <w:bottom w:val="none" w:sz="0" w:space="0" w:color="auto"/>
            <w:right w:val="none" w:sz="0" w:space="0" w:color="auto"/>
          </w:divBdr>
        </w:div>
        <w:div w:id="1839344254">
          <w:marLeft w:val="360"/>
          <w:marRight w:val="0"/>
          <w:marTop w:val="0"/>
          <w:marBottom w:val="0"/>
          <w:divBdr>
            <w:top w:val="none" w:sz="0" w:space="0" w:color="auto"/>
            <w:left w:val="none" w:sz="0" w:space="0" w:color="auto"/>
            <w:bottom w:val="none" w:sz="0" w:space="0" w:color="auto"/>
            <w:right w:val="none" w:sz="0" w:space="0" w:color="auto"/>
          </w:divBdr>
        </w:div>
      </w:divsChild>
    </w:div>
    <w:div w:id="1008993371">
      <w:bodyDiv w:val="1"/>
      <w:marLeft w:val="0"/>
      <w:marRight w:val="0"/>
      <w:marTop w:val="0"/>
      <w:marBottom w:val="0"/>
      <w:divBdr>
        <w:top w:val="none" w:sz="0" w:space="0" w:color="auto"/>
        <w:left w:val="none" w:sz="0" w:space="0" w:color="auto"/>
        <w:bottom w:val="none" w:sz="0" w:space="0" w:color="auto"/>
        <w:right w:val="none" w:sz="0" w:space="0" w:color="auto"/>
      </w:divBdr>
      <w:divsChild>
        <w:div w:id="984898471">
          <w:marLeft w:val="360"/>
          <w:marRight w:val="0"/>
          <w:marTop w:val="0"/>
          <w:marBottom w:val="0"/>
          <w:divBdr>
            <w:top w:val="none" w:sz="0" w:space="0" w:color="auto"/>
            <w:left w:val="none" w:sz="0" w:space="0" w:color="auto"/>
            <w:bottom w:val="none" w:sz="0" w:space="0" w:color="auto"/>
            <w:right w:val="none" w:sz="0" w:space="0" w:color="auto"/>
          </w:divBdr>
        </w:div>
      </w:divsChild>
    </w:div>
    <w:div w:id="1156998690">
      <w:bodyDiv w:val="1"/>
      <w:marLeft w:val="0"/>
      <w:marRight w:val="0"/>
      <w:marTop w:val="0"/>
      <w:marBottom w:val="0"/>
      <w:divBdr>
        <w:top w:val="none" w:sz="0" w:space="0" w:color="auto"/>
        <w:left w:val="none" w:sz="0" w:space="0" w:color="auto"/>
        <w:bottom w:val="none" w:sz="0" w:space="0" w:color="auto"/>
        <w:right w:val="none" w:sz="0" w:space="0" w:color="auto"/>
      </w:divBdr>
      <w:divsChild>
        <w:div w:id="897205551">
          <w:marLeft w:val="360"/>
          <w:marRight w:val="0"/>
          <w:marTop w:val="0"/>
          <w:marBottom w:val="0"/>
          <w:divBdr>
            <w:top w:val="none" w:sz="0" w:space="0" w:color="auto"/>
            <w:left w:val="none" w:sz="0" w:space="0" w:color="auto"/>
            <w:bottom w:val="none" w:sz="0" w:space="0" w:color="auto"/>
            <w:right w:val="none" w:sz="0" w:space="0" w:color="auto"/>
          </w:divBdr>
        </w:div>
      </w:divsChild>
    </w:div>
    <w:div w:id="1238133026">
      <w:bodyDiv w:val="1"/>
      <w:marLeft w:val="0"/>
      <w:marRight w:val="0"/>
      <w:marTop w:val="0"/>
      <w:marBottom w:val="0"/>
      <w:divBdr>
        <w:top w:val="none" w:sz="0" w:space="0" w:color="auto"/>
        <w:left w:val="none" w:sz="0" w:space="0" w:color="auto"/>
        <w:bottom w:val="none" w:sz="0" w:space="0" w:color="auto"/>
        <w:right w:val="none" w:sz="0" w:space="0" w:color="auto"/>
      </w:divBdr>
      <w:divsChild>
        <w:div w:id="192042702">
          <w:marLeft w:val="547"/>
          <w:marRight w:val="0"/>
          <w:marTop w:val="0"/>
          <w:marBottom w:val="0"/>
          <w:divBdr>
            <w:top w:val="none" w:sz="0" w:space="0" w:color="auto"/>
            <w:left w:val="none" w:sz="0" w:space="0" w:color="auto"/>
            <w:bottom w:val="none" w:sz="0" w:space="0" w:color="auto"/>
            <w:right w:val="none" w:sz="0" w:space="0" w:color="auto"/>
          </w:divBdr>
        </w:div>
        <w:div w:id="342318870">
          <w:marLeft w:val="360"/>
          <w:marRight w:val="0"/>
          <w:marTop w:val="0"/>
          <w:marBottom w:val="0"/>
          <w:divBdr>
            <w:top w:val="none" w:sz="0" w:space="0" w:color="auto"/>
            <w:left w:val="none" w:sz="0" w:space="0" w:color="auto"/>
            <w:bottom w:val="none" w:sz="0" w:space="0" w:color="auto"/>
            <w:right w:val="none" w:sz="0" w:space="0" w:color="auto"/>
          </w:divBdr>
        </w:div>
        <w:div w:id="906304993">
          <w:marLeft w:val="547"/>
          <w:marRight w:val="0"/>
          <w:marTop w:val="0"/>
          <w:marBottom w:val="0"/>
          <w:divBdr>
            <w:top w:val="none" w:sz="0" w:space="0" w:color="auto"/>
            <w:left w:val="none" w:sz="0" w:space="0" w:color="auto"/>
            <w:bottom w:val="none" w:sz="0" w:space="0" w:color="auto"/>
            <w:right w:val="none" w:sz="0" w:space="0" w:color="auto"/>
          </w:divBdr>
        </w:div>
        <w:div w:id="1114401541">
          <w:marLeft w:val="547"/>
          <w:marRight w:val="0"/>
          <w:marTop w:val="0"/>
          <w:marBottom w:val="0"/>
          <w:divBdr>
            <w:top w:val="none" w:sz="0" w:space="0" w:color="auto"/>
            <w:left w:val="none" w:sz="0" w:space="0" w:color="auto"/>
            <w:bottom w:val="none" w:sz="0" w:space="0" w:color="auto"/>
            <w:right w:val="none" w:sz="0" w:space="0" w:color="auto"/>
          </w:divBdr>
        </w:div>
        <w:div w:id="1567447363">
          <w:marLeft w:val="547"/>
          <w:marRight w:val="0"/>
          <w:marTop w:val="0"/>
          <w:marBottom w:val="0"/>
          <w:divBdr>
            <w:top w:val="none" w:sz="0" w:space="0" w:color="auto"/>
            <w:left w:val="none" w:sz="0" w:space="0" w:color="auto"/>
            <w:bottom w:val="none" w:sz="0" w:space="0" w:color="auto"/>
            <w:right w:val="none" w:sz="0" w:space="0" w:color="auto"/>
          </w:divBdr>
        </w:div>
        <w:div w:id="1631207238">
          <w:marLeft w:val="547"/>
          <w:marRight w:val="0"/>
          <w:marTop w:val="0"/>
          <w:marBottom w:val="0"/>
          <w:divBdr>
            <w:top w:val="none" w:sz="0" w:space="0" w:color="auto"/>
            <w:left w:val="none" w:sz="0" w:space="0" w:color="auto"/>
            <w:bottom w:val="none" w:sz="0" w:space="0" w:color="auto"/>
            <w:right w:val="none" w:sz="0" w:space="0" w:color="auto"/>
          </w:divBdr>
        </w:div>
        <w:div w:id="1691226697">
          <w:marLeft w:val="547"/>
          <w:marRight w:val="0"/>
          <w:marTop w:val="0"/>
          <w:marBottom w:val="0"/>
          <w:divBdr>
            <w:top w:val="none" w:sz="0" w:space="0" w:color="auto"/>
            <w:left w:val="none" w:sz="0" w:space="0" w:color="auto"/>
            <w:bottom w:val="none" w:sz="0" w:space="0" w:color="auto"/>
            <w:right w:val="none" w:sz="0" w:space="0" w:color="auto"/>
          </w:divBdr>
        </w:div>
        <w:div w:id="2079857921">
          <w:marLeft w:val="547"/>
          <w:marRight w:val="0"/>
          <w:marTop w:val="0"/>
          <w:marBottom w:val="0"/>
          <w:divBdr>
            <w:top w:val="none" w:sz="0" w:space="0" w:color="auto"/>
            <w:left w:val="none" w:sz="0" w:space="0" w:color="auto"/>
            <w:bottom w:val="none" w:sz="0" w:space="0" w:color="auto"/>
            <w:right w:val="none" w:sz="0" w:space="0" w:color="auto"/>
          </w:divBdr>
        </w:div>
      </w:divsChild>
    </w:div>
    <w:div w:id="1491601009">
      <w:bodyDiv w:val="1"/>
      <w:marLeft w:val="0"/>
      <w:marRight w:val="0"/>
      <w:marTop w:val="0"/>
      <w:marBottom w:val="0"/>
      <w:divBdr>
        <w:top w:val="none" w:sz="0" w:space="0" w:color="auto"/>
        <w:left w:val="none" w:sz="0" w:space="0" w:color="auto"/>
        <w:bottom w:val="none" w:sz="0" w:space="0" w:color="auto"/>
        <w:right w:val="none" w:sz="0" w:space="0" w:color="auto"/>
      </w:divBdr>
    </w:div>
    <w:div w:id="1629359495">
      <w:bodyDiv w:val="1"/>
      <w:marLeft w:val="0"/>
      <w:marRight w:val="0"/>
      <w:marTop w:val="0"/>
      <w:marBottom w:val="0"/>
      <w:divBdr>
        <w:top w:val="none" w:sz="0" w:space="0" w:color="auto"/>
        <w:left w:val="none" w:sz="0" w:space="0" w:color="auto"/>
        <w:bottom w:val="none" w:sz="0" w:space="0" w:color="auto"/>
        <w:right w:val="none" w:sz="0" w:space="0" w:color="auto"/>
      </w:divBdr>
      <w:divsChild>
        <w:div w:id="190193512">
          <w:marLeft w:val="360"/>
          <w:marRight w:val="0"/>
          <w:marTop w:val="0"/>
          <w:marBottom w:val="0"/>
          <w:divBdr>
            <w:top w:val="none" w:sz="0" w:space="0" w:color="auto"/>
            <w:left w:val="none" w:sz="0" w:space="0" w:color="auto"/>
            <w:bottom w:val="none" w:sz="0" w:space="0" w:color="auto"/>
            <w:right w:val="none" w:sz="0" w:space="0" w:color="auto"/>
          </w:divBdr>
        </w:div>
        <w:div w:id="614481703">
          <w:marLeft w:val="360"/>
          <w:marRight w:val="0"/>
          <w:marTop w:val="0"/>
          <w:marBottom w:val="0"/>
          <w:divBdr>
            <w:top w:val="none" w:sz="0" w:space="0" w:color="auto"/>
            <w:left w:val="none" w:sz="0" w:space="0" w:color="auto"/>
            <w:bottom w:val="none" w:sz="0" w:space="0" w:color="auto"/>
            <w:right w:val="none" w:sz="0" w:space="0" w:color="auto"/>
          </w:divBdr>
        </w:div>
        <w:div w:id="685448073">
          <w:marLeft w:val="360"/>
          <w:marRight w:val="0"/>
          <w:marTop w:val="0"/>
          <w:marBottom w:val="0"/>
          <w:divBdr>
            <w:top w:val="none" w:sz="0" w:space="0" w:color="auto"/>
            <w:left w:val="none" w:sz="0" w:space="0" w:color="auto"/>
            <w:bottom w:val="none" w:sz="0" w:space="0" w:color="auto"/>
            <w:right w:val="none" w:sz="0" w:space="0" w:color="auto"/>
          </w:divBdr>
        </w:div>
      </w:divsChild>
    </w:div>
    <w:div w:id="1860968176">
      <w:bodyDiv w:val="1"/>
      <w:marLeft w:val="0"/>
      <w:marRight w:val="0"/>
      <w:marTop w:val="0"/>
      <w:marBottom w:val="0"/>
      <w:divBdr>
        <w:top w:val="none" w:sz="0" w:space="0" w:color="auto"/>
        <w:left w:val="none" w:sz="0" w:space="0" w:color="auto"/>
        <w:bottom w:val="none" w:sz="0" w:space="0" w:color="auto"/>
        <w:right w:val="none" w:sz="0" w:space="0" w:color="auto"/>
      </w:divBdr>
      <w:divsChild>
        <w:div w:id="400834734">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CB6F4A9A20428C449B1B3FA986EC98B9" ma:contentTypeVersion="0" ma:contentTypeDescription="Crear nuevo documento." ma:contentTypeScope="" ma:versionID="77f5165329ac8c04d9e3b8640ac91f3a">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A0A5EA-229C-4AA4-B62E-A6A45318BB33}">
  <ds:schemaRefs>
    <ds:schemaRef ds:uri="http://schemas.openxmlformats.org/officeDocument/2006/bibliography"/>
  </ds:schemaRefs>
</ds:datastoreItem>
</file>

<file path=customXml/itemProps2.xml><?xml version="1.0" encoding="utf-8"?>
<ds:datastoreItem xmlns:ds="http://schemas.openxmlformats.org/officeDocument/2006/customXml" ds:itemID="{ED8004D3-26C8-40E7-A61D-96D998D066DB}"/>
</file>

<file path=customXml/itemProps3.xml><?xml version="1.0" encoding="utf-8"?>
<ds:datastoreItem xmlns:ds="http://schemas.openxmlformats.org/officeDocument/2006/customXml" ds:itemID="{B93977E8-635A-4435-A110-2E2FC11A36A2}"/>
</file>

<file path=customXml/itemProps4.xml><?xml version="1.0" encoding="utf-8"?>
<ds:datastoreItem xmlns:ds="http://schemas.openxmlformats.org/officeDocument/2006/customXml" ds:itemID="{F1D3B262-4590-48ED-B42F-8D7A8E2813C7}"/>
</file>

<file path=docProps/app.xml><?xml version="1.0" encoding="utf-8"?>
<Properties xmlns="http://schemas.openxmlformats.org/officeDocument/2006/extended-properties" xmlns:vt="http://schemas.openxmlformats.org/officeDocument/2006/docPropsVTypes">
  <Template>Normal.dotm</Template>
  <TotalTime>16</TotalTime>
  <Pages>7</Pages>
  <Words>3517</Words>
  <Characters>19349</Characters>
  <Application>Microsoft Office Word</Application>
  <DocSecurity>0</DocSecurity>
  <Lines>161</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FormatoPapers</vt:lpstr>
      <vt:lpstr>FormatoPapers</vt:lpstr>
    </vt:vector>
  </TitlesOfParts>
  <Company>Dpt. Sistemas. UTN-FRC</Company>
  <LinksUpToDate>false</LinksUpToDate>
  <CharactersWithSpaces>22821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FormatoPapers</dc:title>
  <dc:subject/>
  <dc:creator>Ing. Mario A. Groppo</dc:creator>
  <cp:keywords/>
  <cp:lastModifiedBy>Fabrizio Medina</cp:lastModifiedBy>
  <cp:revision>4</cp:revision>
  <cp:lastPrinted>2006-11-29T18:00:00Z</cp:lastPrinted>
  <dcterms:created xsi:type="dcterms:W3CDTF">2026-08-29T04:20:00Z</dcterms:created>
  <dcterms:modified xsi:type="dcterms:W3CDTF">2026-08-29T05:02:00Z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0x010100CB6F4A9A20428C449B1B3FA986EC98B9</vt:lpwstr>
  </property>
</Properties>
</file>