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DEL NORTE SANTO TOMÁS DE AQUINO</w:t>
        <w:br/>
        <w:t>FACULTAD DE INGENIERÍA</w:t>
        <w:br/>
        <w:t>CARRERA DE INGENIERÍA EN INFORMÁTICA</w:t>
      </w:r>
    </w:p>
    <w:p>
      <w:pPr>
        <w:jc w:val="center"/>
      </w:pPr>
      <w:r>
        <w:rPr>
          <w:b/>
          <w:sz w:val="32"/>
        </w:rPr>
        <w:t>KREA NOVA: PLATAFORMA FINTECH DE FINANCIAMIENTO COLECTIVO INMOBILIARIO CON ARQUITECTURA HEXAGONAL Y TOKENIZACIÓN DE ACTIVOS DEL MUNDO REAL (RWA)</w:t>
      </w:r>
    </w:p>
    <w:p/>
    <w:p>
      <w:pPr>
        <w:spacing w:after="120"/>
      </w:pPr>
      <w:r>
        <w:t>Proyecto Final de Grado para optar al título de Ingeniero en Informática</w:t>
      </w:r>
    </w:p>
    <w:p>
      <w:pPr>
        <w:spacing w:after="120"/>
      </w:pPr>
      <w:r>
        <w:t>Autor: Mauro Banegas</w:t>
        <w:br/>
        <w:t>Director de Tesis: Asignado UNSTA</w:t>
        <w:br/>
        <w:t>San Miguel de Tucumán, Argentina — Octubre de 2026</w:t>
      </w:r>
    </w:p>
    <w:p>
      <w:r>
        <w:br w:type="page"/>
      </w:r>
    </w:p>
    <w:p>
      <w:pPr>
        <w:pStyle w:val="Heading1"/>
        <w:jc w:val="left"/>
      </w:pPr>
      <w:r>
        <w:t>Resumen</w:t>
      </w:r>
    </w:p>
    <w:p>
      <w:pPr>
        <w:spacing w:after="120"/>
      </w:pPr>
      <w:r>
        <w:t>El financiamiento tradicional de desarrollos inmobiliarios en economías emergentes presenta severas fricciones: altas barreras de entrada de capital, iliquidez de los activos subyacentes, falta de transparencia contable y una densa carga de intermediación burocrática. Esta tesis de ingeniería presenta el diseño, desarrollo formal y evaluación rigurosa de Krea Nova, una plataforma de financiamiento colectivo (crowdfunding) para proyectos inmobiliarios basada en la representación digital de derechos económicos (Real-World Assets o RWA).</w:t>
      </w:r>
    </w:p>
    <w:p>
      <w:pPr>
        <w:spacing w:after="120"/>
      </w:pPr>
      <w:r>
        <w:t>El sistema está estructurado mediante una Arquitectura Hexagonal (Ports and Adapters) implementada en Go 1.23+ con Gin en el backend, un frontend reactivo desarrollado en React 19 con TypeScript, y una estrategia de persistencia políglota desacoplada: PostgreSQL 16+ como fuente de verdad transaccional de partida doble (double-entry bookkeeping) bajo normalización 3FN/BCNF, MongoDB 7+ para expedientes documentales no estructurados de debida diligencia (due diligence), MinIO/S3 para almacenamiento de binarios cifrados en reposo, y una capa desacoplada de abstracción blockchain sobre una testnet EVM para el sellado y trazabilidad de participaciones.</w:t>
      </w:r>
    </w:p>
    <w:p>
      <w:pPr>
        <w:spacing w:after="120"/>
      </w:pPr>
      <w:r>
        <w:t>La solución implementa una estricta adhesión al marco normativo de la República Argentina, incorporando validación matemática Módulo 11 (AFIP/ARCA) para CUIT/CUIL, cumplimiento de la Ley 25.326 de Protección de Datos Personales con cifrado simétrico autenticado AES-256-GCM para información de identificación personal (PII), auditoría inmutable de consentimientos legales, y prevención de operaciones no autorizadas mediante compuertas de verificación KYC/AML conforme a la Res. UIF 49/2024 y la RG CNV 1172/2026.</w:t>
      </w:r>
    </w:p>
    <w:p>
      <w:pPr>
        <w:spacing w:after="120"/>
      </w:pPr>
      <w:r>
        <w:t>La evaluación experimental del prototipo demostró una latencia media de 18.2 ms para transacciones financieras con partida doble en base de datos, un tiempo de procesamiento end-to-end de 90 ms en escenarios de integración HTTP, y un aislamiento de dominio total frente a dependencias de infraestructura y redes blockchain.</w:t>
      </w:r>
    </w:p>
    <w:p>
      <w:pPr>
        <w:spacing w:after="120"/>
      </w:pPr>
      <w:r>
        <w:t>Palabras clave: Financiamiento colectivo, Crowdfunding inmobiliario, Real-World Assets (RWA), Arquitectura Hexagonal, Partida Doble (Double-Entry), Cifrado AES-256-GCM, Regulación Fintech Argentina, Go, React.</w:t>
      </w:r>
    </w:p>
    <w:p>
      <w:r>
        <w:br w:type="page"/>
      </w:r>
    </w:p>
    <w:p>
      <w:pPr>
        <w:pStyle w:val="Heading1"/>
        <w:jc w:val="left"/>
      </w:pPr>
      <w:r>
        <w:t>Abstract</w:t>
      </w:r>
    </w:p>
    <w:p>
      <w:pPr>
        <w:spacing w:after="120"/>
      </w:pPr>
      <w:r>
        <w:t>Traditional real estate financing in emerging economies suffers from severe structural friction: prohibitive capital barriers, illiquid underlying assets, opaque accounting practices, and cumbersome bureaucratic intermediation. This engineering thesis details the formal design, implementation, and empirical evaluation of Krea Nova, an enterprise-grade crowdfunding platform for real estate developments powered by tokenized economic rights (Real-World Assets - RWA).</w:t>
      </w:r>
    </w:p>
    <w:p>
      <w:pPr>
        <w:spacing w:after="120"/>
      </w:pPr>
      <w:r>
        <w:t>The system is engineered using Hexagonal Architecture (Ports and Adapters) in Go 1.23+ with Gin in the backend, a reactive web frontend in React 19 with TypeScript, and a decoupled polyglot persistence design: PostgreSQL 16+ as the ACID single-source-of-truth utilizing strict double-entry ledger bookkeeping (3NF/BCNF compliant), MongoDB 7+ for semi-structured due diligence records, MinIO/S3 for encrypted binary storage, and an abstracted EVM testnet layer for immutable tokenized representation.</w:t>
      </w:r>
    </w:p>
    <w:p>
      <w:pPr>
        <w:spacing w:after="120"/>
      </w:pPr>
      <w:r>
        <w:t>The platform strictly adheres to Argentine financial and privacy regulations, enforcing Modulo 11 algorithmic verification for CUIT/CUIL identifiers, Law 25.326 compliance via AES-256-GCM envelope encryption for Personal Identifiable Information (PII) at rest, immutable audit logs for legal consents, and algorithmic gates blocking unverified capital allocation under UIF Res. 49/2024 and CNV RG 1172/2026.</w:t>
      </w:r>
    </w:p>
    <w:p>
      <w:pPr>
        <w:spacing w:after="120"/>
      </w:pPr>
      <w:r>
        <w:t>Keywords: Crowdfunding, Real Estate Tokenization, Real-World Assets (RWA), Hexagonal Architecture, Double-Entry Bookkeeping, AES-256-GCM, Go, React, Distributed Systems.</w:t>
      </w:r>
    </w:p>
    <w:p>
      <w:r>
        <w:br w:type="page"/>
      </w:r>
    </w:p>
    <w:p>
      <w:pPr>
        <w:pStyle w:val="Heading1"/>
        <w:jc w:val="left"/>
      </w:pPr>
      <w:r>
        <w:t>Índice General</w:t>
      </w:r>
    </w:p>
    <w:p>
      <w:r>
        <w:br w:type="page"/>
      </w:r>
    </w:p>
    <w:p>
      <w:pPr>
        <w:pStyle w:val="Heading1"/>
        <w:jc w:val="left"/>
      </w:pPr>
      <w:r>
        <w:t>Capítulo 1. Introducción y Motivación  ................................................  pág. 1</w:t>
      </w:r>
    </w:p>
    <w:p>
      <w:pPr>
        <w:pStyle w:val="Heading2"/>
      </w:pPr>
      <w:r>
        <w:t>1.1 Contexto macroeconómico e industrial  ................................................  pág. 1</w:t>
      </w:r>
    </w:p>
    <w:p>
      <w:pPr>
        <w:pStyle w:val="Heading2"/>
      </w:pPr>
      <w:r>
        <w:t>1.2 Motivación y relevancia de la solución  ................................................  pág. 2</w:t>
      </w:r>
    </w:p>
    <w:p>
      <w:pPr>
        <w:pStyle w:val="Heading2"/>
      </w:pPr>
      <w:r>
        <w:t>1.3 Formulación de la hipótesis y contribuciones técnicas  ................................................  pág. 3</w:t>
      </w:r>
    </w:p>
    <w:p>
      <w:pPr>
        <w:pStyle w:val="Heading2"/>
      </w:pPr>
      <w:r>
        <w:t>1.4 Organización del documento  ................................................  pág. 4</w:t>
      </w:r>
    </w:p>
    <w:p>
      <w:r>
        <w:br w:type="page"/>
      </w:r>
    </w:p>
    <w:p>
      <w:pPr>
        <w:pStyle w:val="Heading1"/>
        <w:jc w:val="left"/>
      </w:pPr>
      <w:r>
        <w:t>Capítulo 2. Planteamiento del Problema  ................................................  pág. 5</w:t>
      </w:r>
    </w:p>
    <w:p>
      <w:pPr>
        <w:pStyle w:val="Heading2"/>
      </w:pPr>
      <w:r>
        <w:t>2.1 Diagnóstico de la situación actual del real estate  ................................................  pág. 5</w:t>
      </w:r>
    </w:p>
    <w:p>
      <w:pPr>
        <w:pStyle w:val="Heading2"/>
      </w:pPr>
      <w:r>
        <w:t>2.2 Problemas técnicos y regulatorios identificados  ................................................  pág. 6</w:t>
      </w:r>
    </w:p>
    <w:p>
      <w:pPr>
        <w:pStyle w:val="Heading2"/>
      </w:pPr>
      <w:r>
        <w:t>2.3 Alcance delimitado y exclusiones técnicas  ................................................  pág. 7</w:t>
      </w:r>
    </w:p>
    <w:p>
      <w:pPr>
        <w:pStyle w:val="Heading2"/>
      </w:pPr>
      <w:r>
        <w:t>2.4 Beneficiarios y actores del ecosistema  ................................................  pág. 8</w:t>
      </w:r>
    </w:p>
    <w:p>
      <w:r>
        <w:br w:type="page"/>
      </w:r>
    </w:p>
    <w:p>
      <w:pPr>
        <w:pStyle w:val="Heading1"/>
        <w:jc w:val="left"/>
      </w:pPr>
      <w:r>
        <w:t>Capítulo 3. Objetivos del Proyecto  ................................................  pág. 9</w:t>
      </w:r>
    </w:p>
    <w:p>
      <w:pPr>
        <w:pStyle w:val="Heading2"/>
      </w:pPr>
      <w:r>
        <w:t>3.1 Objetivo general  ................................................  pág. 9</w:t>
      </w:r>
    </w:p>
    <w:p>
      <w:pPr>
        <w:pStyle w:val="Heading2"/>
      </w:pPr>
      <w:r>
        <w:t>3.2 Objetivos específicos verificables  ................................................  pág. 9</w:t>
      </w:r>
    </w:p>
    <w:p>
      <w:pPr>
        <w:pStyle w:val="Heading2"/>
      </w:pPr>
      <w:r>
        <w:t>3.3 Criterios cuantitativos de éxito  ................................................  pág. 10</w:t>
      </w:r>
    </w:p>
    <w:p>
      <w:r>
        <w:br w:type="page"/>
      </w:r>
    </w:p>
    <w:p>
      <w:pPr>
        <w:pStyle w:val="Heading1"/>
        <w:jc w:val="left"/>
      </w:pPr>
      <w:r>
        <w:t>Capítulo 4. Marco Teórico, Normativo y Estado del Arte  ................................................  pág. 11</w:t>
      </w:r>
    </w:p>
    <w:p>
      <w:pPr>
        <w:pStyle w:val="Heading2"/>
      </w:pPr>
      <w:r>
        <w:t>4.1 Patrones arquitectónicos de software (Hexagonal, DDD, Clean Architecture)  ................................................  pág. 11</w:t>
      </w:r>
    </w:p>
    <w:p>
      <w:pPr>
        <w:pStyle w:val="Heading2"/>
      </w:pPr>
      <w:r>
        <w:t>4.2 Modelos de persistencia políglota y contabilidad de partida doble  ................................................  pág. 13</w:t>
      </w:r>
    </w:p>
    <w:p>
      <w:pPr>
        <w:pStyle w:val="Heading2"/>
      </w:pPr>
      <w:r>
        <w:t>4.3 Criptografía aplicada: AES-256-GCM, Bcrypt y Módulo 11  ................................................  pág. 15</w:t>
      </w:r>
    </w:p>
    <w:p>
      <w:pPr>
        <w:pStyle w:val="Heading2"/>
      </w:pPr>
      <w:r>
        <w:t>4.4 Análisis normativo integral en Argentina (CNV, UIF, BCRA, Ley 25.326)  ................................................  pág. 17</w:t>
      </w:r>
    </w:p>
    <w:p>
      <w:pPr>
        <w:pStyle w:val="Heading2"/>
      </w:pPr>
      <w:r>
        <w:t>4.5 Estado del arte y comparativa técnica frente a plataformas existentes  ................................................  pág. 20</w:t>
      </w:r>
    </w:p>
    <w:p>
      <w:r>
        <w:br w:type="page"/>
      </w:r>
    </w:p>
    <w:p>
      <w:pPr>
        <w:pStyle w:val="Heading1"/>
        <w:jc w:val="left"/>
      </w:pPr>
      <w:r>
        <w:t>Capítulo 5. Metodología de Desarrollo y Planificación  ................................................  pág. 22</w:t>
      </w:r>
    </w:p>
    <w:p>
      <w:pPr>
        <w:pStyle w:val="Heading2"/>
      </w:pPr>
      <w:r>
        <w:t>5.1 Paradigma Organic Driven Development (ODD) y ciclo iterativo  ................................................  pág. 22</w:t>
      </w:r>
    </w:p>
    <w:p>
      <w:pPr>
        <w:pStyle w:val="Heading2"/>
      </w:pPr>
      <w:r>
        <w:t>5.2 Pila tecnológica y justificación de selección de componentes  ................................................  pág. 23</w:t>
      </w:r>
    </w:p>
    <w:p>
      <w:pPr>
        <w:pStyle w:val="Heading2"/>
      </w:pPr>
      <w:r>
        <w:t>5.3 Estrategia de control de calidad y pruebas automatizadas  ................................................  pág. 25</w:t>
      </w:r>
    </w:p>
    <w:p>
      <w:r>
        <w:br w:type="page"/>
      </w:r>
    </w:p>
    <w:p>
      <w:pPr>
        <w:pStyle w:val="Heading1"/>
        <w:jc w:val="left"/>
      </w:pPr>
      <w:r>
        <w:t>Capítulo 6. Especificación de Requisitos y Análisis de Dominio  ................................................  pág. 27</w:t>
      </w:r>
    </w:p>
    <w:p>
      <w:pPr>
        <w:pStyle w:val="Heading2"/>
      </w:pPr>
      <w:r>
        <w:t>6.1 Definición de actores y modelos de perfil  ................................................  pág. 27</w:t>
      </w:r>
    </w:p>
    <w:p>
      <w:pPr>
        <w:pStyle w:val="Heading2"/>
      </w:pPr>
      <w:r>
        <w:t>6.2 Requisitos funcionales (RF) clasificados  ................................................  pág. 28</w:t>
      </w:r>
    </w:p>
    <w:p>
      <w:pPr>
        <w:pStyle w:val="Heading2"/>
      </w:pPr>
      <w:r>
        <w:t>6.3 Requisitos no funcionales (RNF) y métricas de calidad  ................................................  pág. 30</w:t>
      </w:r>
    </w:p>
    <w:p>
      <w:pPr>
        <w:pStyle w:val="Heading2"/>
      </w:pPr>
      <w:r>
        <w:t>6.4 Diagramas de casos de uso y flujos transaccionales  ................................................  pág. 32</w:t>
      </w:r>
    </w:p>
    <w:p>
      <w:r>
        <w:br w:type="page"/>
      </w:r>
    </w:p>
    <w:p>
      <w:pPr>
        <w:pStyle w:val="Heading1"/>
        <w:jc w:val="left"/>
      </w:pPr>
      <w:r>
        <w:t>Capítulo 7. Diseño Arquitectónico y Modelado de Persistencia  ................................................  pág. 35</w:t>
      </w:r>
    </w:p>
    <w:p>
      <w:pPr>
        <w:pStyle w:val="Heading2"/>
      </w:pPr>
      <w:r>
        <w:t>7.1 Arquitectura del sistema y desacoplamiento de capas  ................................................  pág. 35</w:t>
      </w:r>
    </w:p>
    <w:p>
      <w:pPr>
        <w:pStyle w:val="Heading2"/>
      </w:pPr>
      <w:r>
        <w:t>7.2 Organización interna del backend Go (Ports and Adapters)  ................................................  pág. 37</w:t>
      </w:r>
    </w:p>
    <w:p>
      <w:pPr>
        <w:pStyle w:val="Heading2"/>
      </w:pPr>
      <w:r>
        <w:t>7.3 Modelo Entidad-Relación relacional y normalización 3FN/BCNF  ................................................  pág. 39</w:t>
      </w:r>
    </w:p>
    <w:p>
      <w:pPr>
        <w:pStyle w:val="Heading2"/>
      </w:pPr>
      <w:r>
        <w:t>7.4 Diseño del libro mayor financiero (Double-Entry Ledger)  ................................................  pág. 42</w:t>
      </w:r>
    </w:p>
    <w:p>
      <w:pPr>
        <w:pStyle w:val="Heading2"/>
      </w:pPr>
      <w:r>
        <w:t>7.5 Modelado semiestructurado en MongoDB para Due Diligence  ................................................  pág. 44</w:t>
      </w:r>
    </w:p>
    <w:p>
      <w:pPr>
        <w:pStyle w:val="Heading2"/>
      </w:pPr>
      <w:r>
        <w:t>7.6 Arquitectura de seguridad, cifrado de PII y gestión de sesiones  ................................................  pág. 46</w:t>
      </w:r>
    </w:p>
    <w:p>
      <w:r>
        <w:br w:type="page"/>
      </w:r>
    </w:p>
    <w:p>
      <w:pPr>
        <w:pStyle w:val="Heading1"/>
        <w:jc w:val="left"/>
      </w:pPr>
      <w:r>
        <w:t>Capítulo 8. Implementación del Software  ................................................  pág. 49</w:t>
      </w:r>
    </w:p>
    <w:p>
      <w:pPr>
        <w:pStyle w:val="Heading2"/>
      </w:pPr>
      <w:r>
        <w:t>8.1 Implementación del núcleo de dominio y reglas de negocio  ................................................  pág. 49</w:t>
      </w:r>
    </w:p>
    <w:p>
      <w:pPr>
        <w:pStyle w:val="Heading2"/>
      </w:pPr>
      <w:r>
        <w:t>8.2 Servicios de aplicación y orquestación de casos de uso  ................................................  pág. 52</w:t>
      </w:r>
    </w:p>
    <w:p>
      <w:pPr>
        <w:pStyle w:val="Heading2"/>
      </w:pPr>
      <w:r>
        <w:t>8.3 Adaptadores de infraestructura (PostgreSQL, Gin, Memory Fallback)  ................................................  pág. 56</w:t>
      </w:r>
    </w:p>
    <w:p>
      <w:pPr>
        <w:pStyle w:val="Heading2"/>
      </w:pPr>
      <w:r>
        <w:t>8.4 Validadores de seguridad y servicios criptográficos  ................................................  pág. 60</w:t>
      </w:r>
    </w:p>
    <w:p>
      <w:pPr>
        <w:pStyle w:val="Heading2"/>
      </w:pPr>
      <w:r>
        <w:t>8.5 Frontend React: Dual-theme, componentes atómicos y validación reactiva  ................................................  pág. 64</w:t>
      </w:r>
    </w:p>
    <w:p>
      <w:r>
        <w:br w:type="page"/>
      </w:r>
    </w:p>
    <w:p>
      <w:pPr>
        <w:pStyle w:val="Heading1"/>
        <w:jc w:val="left"/>
      </w:pPr>
      <w:r>
        <w:t>Capítulo 9. Verificación, Pruebas y Evaluación Empírica  ................................................  pág. 68</w:t>
      </w:r>
    </w:p>
    <w:p>
      <w:pPr>
        <w:pStyle w:val="Heading2"/>
      </w:pPr>
      <w:r>
        <w:t>9.1 Estrategia y pirámide de pruebas del sistema  ................................................  pág. 68</w:t>
      </w:r>
    </w:p>
    <w:p>
      <w:pPr>
        <w:pStyle w:val="Heading2"/>
      </w:pPr>
      <w:r>
        <w:t>9.2 Pruebas unitarias de invariantes y criptografía  ................................................  pág. 69</w:t>
      </w:r>
    </w:p>
    <w:p>
      <w:pPr>
        <w:pStyle w:val="Heading2"/>
      </w:pPr>
      <w:r>
        <w:t>9.3 Pruebas de integración E2E del circuito financiero y compuertas KYC  ................................................  pág. 72</w:t>
      </w:r>
    </w:p>
    <w:p>
      <w:pPr>
        <w:pStyle w:val="Heading2"/>
      </w:pPr>
      <w:r>
        <w:t>9.4 Resultados experimentales, rendimiento y latencias  ................................................  pág. 75</w:t>
      </w:r>
    </w:p>
    <w:p>
      <w:r>
        <w:br w:type="page"/>
      </w:r>
    </w:p>
    <w:p>
      <w:pPr>
        <w:pStyle w:val="Heading1"/>
        <w:jc w:val="left"/>
      </w:pPr>
      <w:r>
        <w:t>Capítulo 10. Discusión, Limitaciones y Amenazas a la Validez  ................................................  pág. 78</w:t>
      </w:r>
    </w:p>
    <w:p>
      <w:pPr>
        <w:pStyle w:val="Heading2"/>
      </w:pPr>
      <w:r>
        <w:t>10.1 Análisis de resultados frente a los objetivos planteados  ................................................  pág. 78</w:t>
      </w:r>
    </w:p>
    <w:p>
      <w:pPr>
        <w:pStyle w:val="Heading2"/>
      </w:pPr>
      <w:r>
        <w:t>10.2 Limitaciones inherentes al prototipo y compensaciones de diseño  ................................................  pág. 80</w:t>
      </w:r>
    </w:p>
    <w:p>
      <w:pPr>
        <w:pStyle w:val="Heading2"/>
      </w:pPr>
      <w:r>
        <w:t>10.3 Amenazas a la validez interna y externa  ................................................  pág. 82</w:t>
      </w:r>
    </w:p>
    <w:p>
      <w:r>
        <w:br w:type="page"/>
      </w:r>
    </w:p>
    <w:p>
      <w:pPr>
        <w:pStyle w:val="Heading1"/>
        <w:jc w:val="left"/>
      </w:pPr>
      <w:r>
        <w:t>Capítulo 11. Conclusiones y Trabajo Futuro  ................................................  pág. 84</w:t>
      </w:r>
    </w:p>
    <w:p>
      <w:pPr>
        <w:pStyle w:val="Heading2"/>
      </w:pPr>
      <w:r>
        <w:t>11.1 Síntesis de los aportes técnicos e ingenieriles  ................................................  pág. 84</w:t>
      </w:r>
    </w:p>
    <w:p>
      <w:pPr>
        <w:pStyle w:val="Heading2"/>
      </w:pPr>
      <w:r>
        <w:t>11.2 Cumplimiento de la hipótesis de investigación  ................................................  pág. 85</w:t>
      </w:r>
    </w:p>
    <w:p>
      <w:pPr>
        <w:pStyle w:val="Heading2"/>
      </w:pPr>
      <w:r>
        <w:t>11.3 Hoja de ruta y líneas futuras de desarrollo  ................................................  pág. 86</w:t>
      </w:r>
    </w:p>
    <w:p>
      <w:r>
        <w:br w:type="page"/>
      </w:r>
    </w:p>
    <w:p>
      <w:pPr>
        <w:pStyle w:val="Heading1"/>
        <w:jc w:val="left"/>
      </w:pPr>
      <w:r>
        <w:t>Referencias Bibliográficas  ................................................  pág. 88</w:t>
      </w:r>
    </w:p>
    <w:p>
      <w:r>
        <w:br w:type="page"/>
      </w:r>
    </w:p>
    <w:p>
      <w:pPr>
        <w:pStyle w:val="Heading1"/>
        <w:jc w:val="left"/>
      </w:pPr>
      <w:r>
        <w:t>Anexos Técnicos y Manuales  ................................................  pág. 92</w:t>
      </w:r>
    </w:p>
    <w:p>
      <w:pPr>
        <w:spacing w:after="120"/>
      </w:pPr>
      <w:r>
        <w:t>Anexo A. Manual de Instalación y Despliegue Reproducible  ................................................  pág. 92</w:t>
      </w:r>
    </w:p>
    <w:p>
      <w:pPr>
        <w:spacing w:after="120"/>
      </w:pPr>
      <w:r>
        <w:t>Anexo B. Manual de Usuario y Operatoria del Sistema  ................................................  pág. 96</w:t>
      </w:r>
    </w:p>
    <w:p>
      <w:pPr>
        <w:spacing w:after="120"/>
      </w:pPr>
      <w:r>
        <w:t>Anexo C. Diccionario de Datos DDL Completo en PostgreSQL  ................................................  pág. 100</w:t>
      </w:r>
    </w:p>
    <w:p>
      <w:r>
        <w:br w:type="page"/>
      </w:r>
    </w:p>
    <w:p>
      <w:pPr>
        <w:pStyle w:val="Heading1"/>
        <w:jc w:val="left"/>
      </w:pPr>
      <w:r>
        <w:t>Capítulo 1. Introducción y Motivación</w:t>
      </w:r>
    </w:p>
    <w:p>
      <w:pPr>
        <w:pStyle w:val="Heading2"/>
      </w:pPr>
      <w:r>
        <w:t>1.1 Contexto macroeconómico e industrial</w:t>
      </w:r>
    </w:p>
    <w:p>
      <w:pPr>
        <w:spacing w:after="120"/>
      </w:pPr>
      <w:r>
        <w:t>El sector de los desarrollos inmobiliarios ha constituido históricamente uno de los vehículos de preservación de valor y acumulación de riqueza más sólidos en América Latina. No obstante, el acceso a este mercado se encuentra restringido a una fracción mínima de la población debido al elevado umbral de capital requerido para adquirir unidades indivisas (departamentos, cocheras o locales comerciales), que suele situarse en decenas de miles de dólares estadounidenses.</w:t>
      </w:r>
    </w:p>
    <w:p>
      <w:pPr>
        <w:spacing w:after="120"/>
      </w:pPr>
      <w:r>
        <w:t>En países como la República Argentina, los ciclos inflacionarios crónicos y la volatilidad cambiaria intensifican el apetito por activos tangibles respaldados en ladrillos. Sin embargo, los desarrolladores inmobiliarios medianos y pequeños enfrentan simultáneamente una severa escasez de crédito bancario tradicional, con tasas de interés prohibitivas y plazos inadecuados para ciclos de obra de dos a cuatro años. En este escenario, la intermediación financiera tradicional fracasa en conectar la oferta de proyectos habitacionales y comerciales con la demanda de ahorristas minoristas e institucionales.</w:t>
      </w:r>
    </w:p>
    <w:p>
      <w:pPr>
        <w:pStyle w:val="Heading2"/>
      </w:pPr>
      <w:r>
        <w:t>1.2 Motivación y relevancia de la solución</w:t>
      </w:r>
    </w:p>
    <w:p>
      <w:pPr>
        <w:spacing w:after="120"/>
      </w:pPr>
      <w:r>
        <w:t>La convergencia tecnológica entre el desarrollo de aplicaciones web de alto rendimiento, la arquitectura de microservicios o monolitos modulares limpios y la tecnología de registros distribuidos (Distributed Ledger Technology - DLT) posibilita la democratización del acceso a activos del mundo real (Real-World Assets o RWA). Al fraccionar la participación económica en un proyecto mediante cuotas de inversión digitalizadas, es viable reducir el ticket mínimo a sumas sumamente accesibles (por ejemplo, 500 dólares o su equivalente en moneda nacional).</w:t>
      </w:r>
    </w:p>
    <w:p>
      <w:pPr>
        <w:spacing w:after="120"/>
      </w:pPr>
      <w:r>
        <w:t>No obstante, la mera emisión de tokens en una red pública suele carecer de rigor jurídico, exponiendo a los inversores al riesgo de nulidad legal y estafas, o acoplando el código de negocio a blockchains volátiles. La relevancia de este proyecto radica en estructurar una solución de software empresarial que concilie la innovación del financiamiento colectivo y la tokenización con el principio de estricto apego al marco regulatorio local, la protección criptográfica de datos personales y la infalibilidad contable mediante un libro mayor de partida doble.</w:t>
      </w:r>
    </w:p>
    <w:p>
      <w:pPr>
        <w:pStyle w:val="Heading2"/>
      </w:pPr>
      <w:r>
        <w:t>1.3 Formulación de la hipótesis y contribuciones técnicas</w:t>
      </w:r>
    </w:p>
    <w:p>
      <w:pPr>
        <w:spacing w:after="120"/>
      </w:pPr>
      <w:r>
        <w:t>Las contribuciones técnicas principales de esta tesis son las siguientes:</w:t>
      </w:r>
    </w:p>
    <w:p>
      <w:pPr>
        <w:spacing w:after="120"/>
      </w:pPr>
      <w:r>
        <w:t>1. Desacoplamiento de Dominio: Diseño y construcción de una Arquitectura Hexagonal completa en Go 1.23+, aislando el núcleo de dominio de Gin, drivers de base de datos y SDKs blockchain.</w:t>
      </w:r>
    </w:p>
    <w:p>
      <w:pPr>
        <w:spacing w:after="120"/>
      </w:pPr>
      <w:r>
        <w:t>2. Persistencia Políglota Especializada: Implementación de un modelo de persistencia políglota con PostgreSQL 16+ en 3FN/BCNF para datos financieros de partida doble y MongoDB 7+ para la debida diligencia documental.</w:t>
      </w:r>
    </w:p>
    <w:p>
      <w:pPr>
        <w:spacing w:after="120"/>
      </w:pPr>
      <w:r>
        <w:t>3. Privacidad y Seguridad Criptográfica: Integración de cifrado autenticado en reposo AES-256-GCM para PII (DNI, CUIL, domicilios) en conformidad con la Ley 25.326 y validación Módulo 11 en tiempo real.</w:t>
      </w:r>
    </w:p>
    <w:p>
      <w:pPr>
        <w:spacing w:after="120"/>
      </w:pPr>
      <w:r>
        <w:t>4. Bloqueo Regulatorio Nativo: Desarrollo de compuertas algorítmicas de cumplimiento KYC/AML que impiden que cualquier entidad no verificada asigne capital o emita órdenes en el mercado secundario.</w:t>
      </w:r>
    </w:p>
    <w:p>
      <w:pPr>
        <w:spacing w:after="120"/>
      </w:pPr>
      <w:r>
        <w:t>5. Experiencia de Usuario Avanzada: Construcción de un frontend reactivo en React 19 + TypeScript con arquitectura atómica, dual-theme tokenizado y validaciones asíncronas de onboarding.</w:t>
      </w:r>
    </w:p>
    <w:p>
      <w:pPr>
        <w:pStyle w:val="Heading2"/>
      </w:pPr>
      <w:r>
        <w:t>1.4 Organización del documento</w:t>
      </w:r>
    </w:p>
    <w:p>
      <w:pPr>
        <w:spacing w:after="120"/>
      </w:pPr>
      <w:r>
        <w:t>El resto de esta tesis se estructura de la siguiente manera: el Capítulo 2 define formalmente el problema de ingeniería y los límites del sistema. El Capítulo 3 formula los objetivos verificables. El Capítulo 4 desglosa el marco teórico, el análisis regulatorio y el estado del arte. El Capítulo 5 describe la metodología Organic Driven Development (ODD). Los Capítulos 6 y 7 profundizan en los requisitos, el diseño arquitectónico y el modelado de base de datos. El Capítulo 8 detalla la implementación del código fuente. El Capítulo 9 presenta la evaluación experimental y las pruebas de rendimiento. El Capítulo 10 discute limitaciones y amenazas a la validez. Finalmente, el Capítulo 11 sintetiza las conclusiones y el trabajo futuro, seguido por la bibliografía y los anexos técnicos.</w:t>
      </w:r>
    </w:p>
    <w:p>
      <w:r>
        <w:br w:type="page"/>
      </w:r>
    </w:p>
    <w:p>
      <w:pPr>
        <w:pStyle w:val="Heading1"/>
        <w:jc w:val="left"/>
      </w:pPr>
      <w:r>
        <w:t>Capítulo 2. Planteamiento del Problema</w:t>
      </w:r>
    </w:p>
    <w:p>
      <w:pPr>
        <w:pStyle w:val="Heading2"/>
      </w:pPr>
      <w:r>
        <w:t>2.1 Diagnóstico de la situación actual del real estate</w:t>
      </w:r>
    </w:p>
    <w:p>
      <w:pPr>
        <w:spacing w:after="120"/>
      </w:pPr>
      <w:r>
        <w:t>En el modelo tradicional de financiamiento inmobiliario, la cadena de valor sufre de marcadas ineficiencias:</w:t>
      </w:r>
    </w:p>
    <w:p>
      <w:pPr>
        <w:spacing w:after="120"/>
      </w:pPr>
      <w:r>
        <w:t>Barrera de capital: Exclusión masiva de pequeños y medianos ahorristas que no disponen de los montos requeridos para una compra al pozo convencional.</w:t>
      </w:r>
    </w:p>
    <w:p>
      <w:pPr>
        <w:spacing w:after="120"/>
      </w:pPr>
      <w:r>
        <w:t>Iliquidez estructural: Una vez suscrita una inversión inmobiliaria, el capital queda inmovilizado durante meses o años sin existencia de un mercado líquido para desinvertir antes de la posesión física.</w:t>
      </w:r>
    </w:p>
    <w:p>
      <w:pPr>
        <w:spacing w:after="120"/>
      </w:pPr>
      <w:r>
        <w:t>Opacidad documental: Los inversores reciben reportes informales en planillas de cálculo, careciendo de auditoría contable inmutable y de mecanismos periciales fehacientes para verificar el avance real de obra.</w:t>
      </w:r>
    </w:p>
    <w:p>
      <w:pPr>
        <w:spacing w:after="120"/>
      </w:pPr>
      <w:r>
        <w:t>Incertidumbre jurídica: La proliferación de proyectos cripto no regulados que comercializan 'tokens inmobiliarios' sin respaldo jurídico ni debida diligencia legal genera contingencias graves de lavado de activos y fraudes.</w:t>
      </w:r>
    </w:p>
    <w:p>
      <w:pPr>
        <w:pStyle w:val="Heading2"/>
      </w:pPr>
      <w:r>
        <w:t>2.2 Problemas técnicos y regulatorios identificados</w:t>
      </w:r>
    </w:p>
    <w:p>
      <w:pPr>
        <w:spacing w:after="120"/>
      </w:pPr>
      <w:r>
        <w:t>Desde la perspectiva de la ingeniería de software y la regulación financiera, se identificaron cuatro desafíos críticos que los sistemas actuales resuelven deficientemente:</w:t>
      </w:r>
    </w:p>
    <w:p>
      <w:pPr>
        <w:spacing w:after="120"/>
      </w:pPr>
      <w:r>
        <w:t>1. Acoplamiento blockchain indebido: Muchos sistemas delegan la verdad de las transacciones a contratos inteligentes en redes blockchain públicas. Esto ocasiona altos costos de gas, lentitud transaccional y exposición pública de datos personales sensibles (violando normativas como el RGPD o la Ley 25.326).</w:t>
      </w:r>
    </w:p>
    <w:p>
      <w:pPr>
        <w:spacing w:after="120"/>
      </w:pPr>
      <w:r>
        <w:t>2. Fragilidad del modelo de saldos: Las bases de datos fintech comúnmente actualizan los saldos de los usuarios mediante sentencias simples (UPDATE balance = balance + X). Esto impide la auditoría forense y posibilita inconsistencias de balance ante fallos de red o errores de concurrencia.</w:t>
      </w:r>
    </w:p>
    <w:p>
      <w:pPr>
        <w:spacing w:after="120"/>
      </w:pPr>
      <w:r>
        <w:t>3. Rigidez de persistencia: La debida diligencia de un desarrollo involucra títulos de dominio, matrículas registrales (Ley 17.801), permisos municipales y estudios de impacto ambiental. Intentar forzar esta estructura variable en un esquema relacional rígido provoca modelos anómalos con decenas de columnas nulas.</w:t>
      </w:r>
    </w:p>
    <w:p>
      <w:pPr>
        <w:spacing w:after="120"/>
      </w:pPr>
      <w:r>
        <w:t>4. Compuertas regulatorias ausentes: Las plataformas suelen posponer la validación de identidad o KYC hasta el momento del retiro, permitiendo aportes ilícitos previos. El sistema debe impedir a nivel de motor de base de datos la inserción de registros financieros si el inversor no cuenta con legajo verificado.</w:t>
      </w:r>
    </w:p>
    <w:p>
      <w:pPr>
        <w:pStyle w:val="Heading2"/>
      </w:pPr>
      <w:r>
        <w:t>2.3 Alcance delimitado y exclusiones técnicas</w:t>
      </w:r>
    </w:p>
    <w:p>
      <w:pPr>
        <w:pStyle w:val="Heading2"/>
      </w:pPr>
      <w:r>
        <w:t>2.4 Beneficiarios y actores del ecosistema</w:t>
      </w:r>
    </w:p>
    <w:p>
      <w:pPr>
        <w:spacing w:after="120"/>
      </w:pPr>
      <w:r>
        <w:t>El ecosistema de Krea Nova define tres categorías principales de usuarios:</w:t>
      </w:r>
    </w:p>
    <w:p>
      <w:pPr>
        <w:spacing w:after="120"/>
      </w:pPr>
      <w:r>
        <w:t>1. Inversores Individuales: Personas humanas que buscan rentabilidad en dólares mediante activos tangibles, disponiendo de transparencia en tiempo real y mercado secundario interno demostrativo.</w:t>
      </w:r>
    </w:p>
    <w:p>
      <w:pPr>
        <w:spacing w:after="120"/>
      </w:pPr>
      <w:r>
        <w:t>2. Desarrolladoras Inmobiliarias: Empresas constructoras y fideicomisos (Personas Jurídicas según Ley 19.550) que requieren financiamiento ágil, reportando avances de obra certificados mediante hitos medibles.</w:t>
      </w:r>
    </w:p>
    <w:p>
      <w:pPr>
        <w:spacing w:after="120"/>
      </w:pPr>
      <w:r>
        <w:t>3. Administradores y Revisores: Oficiales de cumplimiento legal, técnico y financiero que auditan los legajos de los proyectos y dictaminan sobre su aptitud antes de su publicación al público.</w:t>
      </w:r>
    </w:p>
    <w:p>
      <w:r>
        <w:br w:type="page"/>
      </w:r>
    </w:p>
    <w:p>
      <w:pPr>
        <w:pStyle w:val="Heading1"/>
        <w:jc w:val="left"/>
      </w:pPr>
      <w:r>
        <w:t>Capítulo 3. Objetivos del Proyecto</w:t>
      </w:r>
    </w:p>
    <w:p>
      <w:pPr>
        <w:pStyle w:val="Heading2"/>
      </w:pPr>
      <w:r>
        <w:t>3.1 Objetivo general</w:t>
      </w:r>
    </w:p>
    <w:p>
      <w:pPr>
        <w:spacing w:after="120"/>
      </w:pPr>
      <w:r>
        <w:t>Diseñar, implementar y evaluar un prototipo seguro, modular y escalable de una plataforma fintech de financiamiento colectivo para desarrollos inmobiliarios, fundamentada en arquitectura hexagonal en Go, frontend reactivo en React + TypeScript y persistencia políglota desacoplada (PostgreSQL, MongoDB y MinIO), con integración demostrativa de tokenización RWA y estricto cumplimiento del marco legal argentino.</w:t>
      </w:r>
    </w:p>
    <w:p>
      <w:pPr>
        <w:pStyle w:val="Heading2"/>
      </w:pPr>
      <w:r>
        <w:t>3.2 Objetivos específicos verificables</w:t>
      </w:r>
    </w:p>
    <w:p>
      <w:pPr>
        <w:spacing w:after="120"/>
      </w:pPr>
      <w:r>
        <w:t>OE 1. Aislamiento Arquitectónico: Implementar el núcleo de dominio de usuarios, proyectos y fondos sin dependencias de infraestructura ni frameworks, validando invariantes en memoria.</w:t>
      </w:r>
    </w:p>
    <w:p>
      <w:pPr>
        <w:spacing w:after="120"/>
      </w:pPr>
      <w:r>
        <w:t>OE 2. Consistencia Financiera ACID: Construir un motor contable de partida doble en PostgreSQL que impida saldos flotantes y garantice matemáticamente el equilibrio débitos = créditos en cada asiento.</w:t>
      </w:r>
    </w:p>
    <w:p>
      <w:pPr>
        <w:spacing w:after="120"/>
      </w:pPr>
      <w:r>
        <w:t>OE 3. Cifrado y Protección de Privacidad: Desarrollar un servicio criptográfico en Go para cifrar en reposo datos sensibles (DNI, CUIL, domicilio) mediante AES-256-GCM y hashing Bcrypt (costo 12).</w:t>
      </w:r>
    </w:p>
    <w:p>
      <w:pPr>
        <w:spacing w:after="120"/>
      </w:pPr>
      <w:r>
        <w:t>OE 4. Persistencia Documental Flexible: Diseñar un esquema documental en MongoDB para almacenar peritajes técnicos, estudios de suelo y cuestionarios variables de due diligence inmobiliario.</w:t>
      </w:r>
    </w:p>
    <w:p>
      <w:pPr>
        <w:spacing w:after="120"/>
      </w:pPr>
      <w:r>
        <w:t>OE 5. Interfaz de Usuario e Interacción: Implementar en React 19 una interfaz con arquitectura atómica, soporte de dual-theme con tokens de diseño, validación Módulo 11 en tiempo real y control de mayoría de edad.</w:t>
      </w:r>
    </w:p>
    <w:p>
      <w:pPr>
        <w:spacing w:after="120"/>
      </w:pPr>
      <w:r>
        <w:t>OE 6. Calidad y Verificación Empírica: Verificar experimentalmente el sistema mediante pruebas unitarias, de integración E2E y microbenchmarks con cobertura de código superior al 85% en módulos críticos.</w:t>
      </w:r>
    </w:p>
    <w:p>
      <w:pPr>
        <w:pStyle w:val="Heading2"/>
      </w:pPr>
      <w:r>
        <w:t>3.3 Criterios cuantitativos de éxito</w:t>
      </w:r>
    </w:p>
    <w:p>
      <w:r>
        <w:br w:type="page"/>
      </w:r>
    </w:p>
    <w:p>
      <w:pPr>
        <w:pStyle w:val="Heading1"/>
        <w:jc w:val="left"/>
      </w:pPr>
      <w:r>
        <w:t>Capítulo 4. Marco Teórico, Normativo y Estado del Arte</w:t>
      </w:r>
    </w:p>
    <w:p>
      <w:pPr>
        <w:pStyle w:val="Heading2"/>
      </w:pPr>
      <w:r>
        <w:t>4.1 Patrones arquitectónicos de software (Hexagonal, DDD, Clean Architecture)</w:t>
      </w:r>
    </w:p>
    <w:p>
      <w:pPr>
        <w:spacing w:after="120"/>
      </w:pPr>
      <w:r>
        <w:t>El diseño de sistemas empresariales contemporáneos exige la máxima independencia de las reglas del negocio respecto a factores exógenos como bases de datos, protocolos de transporte (HTTP/gRPC) o proveedores de nube. El patrón de Arquitectura Hexagonal, propuesto por Alistair Cockburn (2005) y consolidado por Robert C. Martin en Clean Architecture (2017), divide la aplicación en un interior (Dominio y Aplicación) y un exterior (Adaptadores de Entrada y Salida), comunicados exclusivamente a través de Puertos (Interfaces).</w:t>
      </w:r>
    </w:p>
    <w:p>
      <w:pPr>
        <w:spacing w:after="120"/>
      </w:pPr>
      <w:r>
        <w:t>En Krea Nova, las entidades del dominio financiero y de proyectos se aíslan rigurosamente en paquetes que no importan librerías de terceros. Este principio asegura que un cambio en el motor de base de datos (por ejemplo, migrar de PostgreSQL a CockroachDB) o en la red blockchain no requiera modificar una sola línea de la lógica de negocio.</w:t>
      </w:r>
    </w:p>
    <w:p>
      <w:pPr>
        <w:pStyle w:val="Heading2"/>
      </w:pPr>
      <w:r>
        <w:t>4.2 Modelos de persistencia políglota y contabilidad de partida doble</w:t>
      </w:r>
    </w:p>
    <w:p>
      <w:pPr>
        <w:spacing w:after="120"/>
      </w:pPr>
      <w:r>
        <w:t>El principio de Persistencia Políglota establece que ninguna tecnología de base de datos única es óptima para todos los casos de uso de un sistema complejo. Mientras que los modelos relacionales (RDBMS) sobresalen en la consistencia estricta y consultas estructuradas bajo ACID, las bases documentales NoSQL ofrecen flexibilidad para jerarquías dinámicas y esquemas variables.</w:t>
      </w:r>
    </w:p>
    <w:p>
      <w:pPr>
        <w:spacing w:after="120"/>
      </w:pPr>
      <w:r>
        <w:t>Por otra parte, la contabilidad de partida doble, formalizada por Luca Pacioli en 1494 y pilar de los sistemas financieros globales, establece que no existe deudor sin acreedor. Cada movimiento financiero genera un par de asientos:</w:t>
      </w:r>
    </w:p>
    <w:p>
      <w:pPr>
        <w:spacing w:after="120"/>
      </w:pPr>
      <w:r>
        <w:t>$$\sum \text{Débitos} - \sum \text{Créditos} = 0$$</w:t>
      </w:r>
    </w:p>
    <w:p>
      <w:pPr>
        <w:spacing w:after="120"/>
      </w:pPr>
      <w:r>
        <w:t>En Krea Nova, el saldo de un inversor o del fondo de custodia nunca es un valor escalar sobrescribible en una fila, sino la agregación temporal de todos los asientos asentados en la tabla inmutable ledger_entries. Esto garantiza trazabilidad forense irrebatible.</w:t>
      </w:r>
    </w:p>
    <w:p>
      <w:pPr>
        <w:pStyle w:val="Heading2"/>
      </w:pPr>
      <w:r>
        <w:t>4.3 Criptografía aplicada: AES-256-GCM, Bcrypt y Módulo 11</w:t>
      </w:r>
    </w:p>
    <w:p>
      <w:pPr>
        <w:spacing w:after="120"/>
      </w:pPr>
      <w:r>
        <w:t>El sistema incorpora estándares criptográficos de grado bancario recomendados por el NIST y OWASP:</w:t>
      </w:r>
    </w:p>
    <w:p>
      <w:pPr>
        <w:spacing w:after="120"/>
      </w:pPr>
      <w:r>
        <w:t>AES-256-GCM: Modo de cifrado por bloques simétrico autenticado (Authenticated Encryption with Associated Data - AEAD). Utiliza un vector de inicialización (nonce) criptográficamente seguro de 96 bits generado mediante hardware (/dev/urandom) por cada operación y un tag de autenticación de 128 bits para prevenir ataques de manipulación de texto cifrado.</w:t>
      </w:r>
    </w:p>
    <w:p>
      <w:pPr>
        <w:spacing w:after="120"/>
      </w:pPr>
      <w:r>
        <w:t>Bcrypt: Función de derivación de claves basada en el cifrador Blowfish diseñada por Provos y Mazières (1999). Incorpora salt aleatorio y factor de coste exponencial configurable (fijado en 12 para Krea Nova), mitigando ataques de fuerza bruta mediante GPU.</w:t>
      </w:r>
    </w:p>
    <w:p>
      <w:pPr>
        <w:spacing w:after="120"/>
      </w:pPr>
      <w:r>
        <w:t>Algoritmo Módulo 11: Algoritmo de suma ponderada utilizado oficialmente por AFIP/ARCA para validar la integridad matemática de claves tributarias (CUIT/CUIL), evitando errores de tipeo y registros apócrifos antes de cualquier consulta externa.</w:t>
      </w:r>
    </w:p>
    <w:p>
      <w:pPr>
        <w:pStyle w:val="Heading2"/>
      </w:pPr>
      <w:r>
        <w:t>4.4 Análisis normativo integral en Argentina (CNV, UIF, BCRA, Ley 25.326)</w:t>
      </w:r>
    </w:p>
    <w:p>
      <w:pPr>
        <w:spacing w:after="120"/>
      </w:pPr>
      <w:r>
        <w:t>Krea Nova fue concebido considerando el marco normativo vigente al 27 de octubre de 2026 en la República Argentina:</w:t>
      </w:r>
    </w:p>
    <w:p>
      <w:pPr>
        <w:spacing w:after="120"/>
      </w:pPr>
      <w:r>
        <w:t>Ley 25.326 de Protección de Datos Personales: Rige el tratamiento de datos personales. Exige consentimiento libre, expreso e informado con casillas independientes, finalidad legítima y medidas de seguridad técnicas para evitar accesos no autorizados a datos sensibles (DNI, domicilios).</w:t>
      </w:r>
    </w:p>
    <w:p>
      <w:pPr>
        <w:spacing w:after="120"/>
      </w:pPr>
      <w:r>
        <w:t>Ley 27.349 de Apoyo al Capital Emprendedor: Marco regulatorio para Plataformas de Financiamiento Colectivo (PFC) mediante emisión de acciones, títulos de deuda convertibles o cuotas de fideicomiso, estableciendo topes máximos por proyecto e inversor no calificado.</w:t>
      </w:r>
    </w:p>
    <w:p>
      <w:pPr>
        <w:spacing w:after="120"/>
      </w:pPr>
      <w:r>
        <w:t>RG CNV 1172/2026 (Régimen PSAV): Marco regulatorio emitido en octubre de 2026 que reordena las categorías de Proveedores de Servicios de Activos Virtuales (PSAV), fijando patrimonios netos mínimos (desde USD 35.000 a USD 150.000) y exigencias de gobernanza y ciberseguridad.</w:t>
      </w:r>
    </w:p>
    <w:p>
      <w:pPr>
        <w:spacing w:after="120"/>
      </w:pPr>
      <w:r>
        <w:t>Resolución UIF 49/2024: Dispone la debida diligencia de clientes, identificación de Beneficiarios Finales (UBO con más del 10% de participación societaria), declaración de Personas Expuestas Políticamente (PEP) y monitoreo de operaciones sospechosas.</w:t>
      </w:r>
    </w:p>
    <w:p>
      <w:pPr>
        <w:pStyle w:val="Heading2"/>
      </w:pPr>
      <w:r>
        <w:t>4.5 Estado del arte y comparativa técnica frente a plataformas existentes</w:t>
      </w:r>
    </w:p>
    <w:p>
      <w:r>
        <w:br w:type="page"/>
      </w:r>
    </w:p>
    <w:p>
      <w:pPr>
        <w:pStyle w:val="Heading1"/>
        <w:jc w:val="left"/>
      </w:pPr>
      <w:r>
        <w:t>Capítulo 5. Metodología de Desarrollo y Planificación</w:t>
      </w:r>
    </w:p>
    <w:p>
      <w:pPr>
        <w:pStyle w:val="Heading2"/>
      </w:pPr>
      <w:r>
        <w:t>5.1 Paradigma Organic Driven Development (ODD) y ciclo iterativo</w:t>
      </w:r>
    </w:p>
    <w:p>
      <w:pPr>
        <w:spacing w:after="120"/>
      </w:pPr>
      <w:r>
        <w:t>El desarrollo del software se condujo bajo el marco metodológico Organic Driven Development (ODD). Este paradigma prioriza el modelado riguroso del dominio central y las reglas de negocio antes de introducir herramientas de interfaz de usuario o frameworks web.</w:t>
      </w:r>
    </w:p>
    <w:p>
      <w:pPr>
        <w:spacing w:after="120"/>
      </w:pPr>
      <w:r>
        <w:t>El flujo de trabajo progresó en las siguientes fases ordenadas:</w:t>
      </w:r>
    </w:p>
    <w:p>
      <w:pPr>
        <w:spacing w:after="120"/>
      </w:pPr>
      <w:r>
        <w:t>1. Dominio Puro: Fase 1: Especificación del modelo conceptual, delimitación de alcance legal y definición de invariantes del dominio de proyectos y fondos.</w:t>
      </w:r>
    </w:p>
    <w:p>
      <w:pPr>
        <w:spacing w:after="120"/>
      </w:pPr>
      <w:r>
        <w:t>2. Contratos y Puertos: Fase 2: Declaración de interfaces de persistencia y gateways externos (puertos de entrada y salida).</w:t>
      </w:r>
    </w:p>
    <w:p>
      <w:pPr>
        <w:spacing w:after="120"/>
      </w:pPr>
      <w:r>
        <w:t>3. Adaptadores en Memoria: Fase 3: Implementación de repositorios en memoria y pruebas unitarias aisladas sin bases de datos.</w:t>
      </w:r>
    </w:p>
    <w:p>
      <w:pPr>
        <w:spacing w:after="120"/>
      </w:pPr>
      <w:r>
        <w:t>4. Persistencia ACID: Fase 4: Construcción de esquemas DDL en PostgreSQL 16+ con normalización BCNF y adaptadores pgx/v5.</w:t>
      </w:r>
    </w:p>
    <w:p>
      <w:pPr>
        <w:spacing w:after="120"/>
      </w:pPr>
      <w:r>
        <w:t>5. Adaptador Web Gin: Fase 5: Exposición de endpoints HTTP REST mediante adaptador Gin, serialización DTO e inyección de dependencias.</w:t>
      </w:r>
    </w:p>
    <w:p>
      <w:pPr>
        <w:spacing w:after="120"/>
      </w:pPr>
      <w:r>
        <w:t>6. Frontend Reactivo: Fase 6: Construcción de la interfaz web reactiva en React 19, integración de estado y validaciones legales.</w:t>
      </w:r>
    </w:p>
    <w:p>
      <w:pPr>
        <w:pStyle w:val="Heading2"/>
      </w:pPr>
      <w:r>
        <w:t>5.2 Pila tecnológica y justificación de selección de componentes</w:t>
      </w:r>
    </w:p>
    <w:p>
      <w:pPr>
        <w:spacing w:after="120"/>
      </w:pPr>
      <w:r>
        <w:t>Cada herramienta del stack fue seleccionada mediante criterios de ingeniería rigurosos:</w:t>
      </w:r>
    </w:p>
    <w:p>
      <w:pPr>
        <w:spacing w:after="120"/>
      </w:pPr>
      <w:r>
        <w:t>Backend Go 1.23+: Lenguaje compilado con concurrencia nativa (goroutines), tipado estático fuerte, ausencia de sobrecarga de máquinas virtuales y compilación en binarios autocontenidos ideales para microservicios y despliegue en contenedores Docker.</w:t>
      </w:r>
    </w:p>
    <w:p>
      <w:pPr>
        <w:spacing w:after="120"/>
      </w:pPr>
      <w:r>
        <w:t>Gin Web Framework: Framework HTTP ultraliviano que opera sobre httprouter, ofreciendo enrutamiento por radix tree de alto rendimiento sin asignaciones de memoria innecesarias.</w:t>
      </w:r>
    </w:p>
    <w:p>
      <w:pPr>
        <w:spacing w:after="120"/>
      </w:pPr>
      <w:r>
        <w:t>PostgreSQL 16+: RDBMS de grado empresarial con soporte nativo para claves foráneas estrictas, restricciones CHECK, índices B-Tree avanzados y extensiones criptográficas (pgcrypto).</w:t>
      </w:r>
    </w:p>
    <w:p>
      <w:pPr>
        <w:spacing w:after="120"/>
      </w:pPr>
      <w:r>
        <w:t>React 19 + Vite: Biblioteca líder en interfaces declarativas, aprovechando React Server Components y Concurrent Rendering para una experiencia fluida sin parpadeos.</w:t>
      </w:r>
    </w:p>
    <w:p>
      <w:pPr>
        <w:spacing w:after="120"/>
      </w:pPr>
      <w:r>
        <w:t>TypeScript 5+: Superset de JavaScript que aporta seguridad de tipos estáticos en tiempo de compilación, eliminando errores de tiempo de ejecución en la gestión de formularios complejos.</w:t>
      </w:r>
    </w:p>
    <w:p>
      <w:pPr>
        <w:pStyle w:val="Heading2"/>
      </w:pPr>
      <w:r>
        <w:t>5.3 Estrategia de control de calidad y pruebas automatizadas</w:t>
      </w:r>
    </w:p>
    <w:p>
      <w:pPr>
        <w:spacing w:after="120"/>
      </w:pPr>
      <w:r>
        <w:t>El proyecto adoptó una disciplina estricta de verificación de software estructurada en una pirámide de pruebas automatizadas:</w:t>
      </w:r>
    </w:p>
    <w:p>
      <w:pPr>
        <w:spacing w:after="120"/>
      </w:pPr>
      <w:r>
        <w:t>Pruebas unitarias de dominio: Ejecución sin dependencias de red o disco. Validan creación de entidades, transiciones de estado de proyectos y equilibrio de asientos de partida doble.</w:t>
      </w:r>
    </w:p>
    <w:p>
      <w:pPr>
        <w:spacing w:after="120"/>
      </w:pPr>
      <w:r>
        <w:t>Pruebas de seguridad y validación: Verificación de generación de nonces aleatorios, resistencia del cifrado AES-256-GCM y validación de expresiones regulares de CUIT/CUIL y Gmail.</w:t>
      </w:r>
    </w:p>
    <w:p>
      <w:pPr>
        <w:spacing w:after="120"/>
      </w:pPr>
      <w:r>
        <w:t>Pruebas de integración E2E: Levantamiento de instancias de testeo del servidor HTTP mediante httptest.NewRecorder() para validar el flujo completo: registro, alta de legajo, compuerta KYC y suscripción de inversiones.</w:t>
      </w:r>
    </w:p>
    <w:p>
      <w:r>
        <w:br w:type="page"/>
      </w:r>
    </w:p>
    <w:p>
      <w:pPr>
        <w:pStyle w:val="Heading1"/>
        <w:jc w:val="left"/>
      </w:pPr>
      <w:r>
        <w:t>Capítulo 6. Especificación de Requisitos y Análisis de Dominio</w:t>
      </w:r>
    </w:p>
    <w:p>
      <w:pPr>
        <w:pStyle w:val="Heading2"/>
      </w:pPr>
      <w:r>
        <w:t>6.1 Definición de actores y modelos de perfil</w:t>
      </w:r>
    </w:p>
    <w:p>
      <w:pPr>
        <w:spacing w:after="120"/>
      </w:pPr>
      <w:r>
        <w:t>El sistema discrimina rigurosamente entre los siguientes actores:</w:t>
      </w:r>
    </w:p>
    <w:p>
      <w:pPr>
        <w:spacing w:after="120"/>
      </w:pPr>
      <w:r>
        <w:t>Inversor Individual: Persona humana con capacidad legal plena (+18 años) que suscribe inversiones y opera en el mercado secundario tras validar su legajo.</w:t>
      </w:r>
    </w:p>
    <w:p>
      <w:pPr>
        <w:spacing w:after="120"/>
      </w:pPr>
      <w:r>
        <w:t>Desarrollador Inmobiliario: Sociedad comercial o vehículo fiduciario (SA, SAS, SRL, Fideicomiso) que somete proyectos para evaluación y reporte de avances.</w:t>
      </w:r>
    </w:p>
    <w:p>
      <w:pPr>
        <w:spacing w:after="120"/>
      </w:pPr>
      <w:r>
        <w:t>Administrador / Revisor: Operador interno facultado para examinar dictámenes técnicos, certificar hitos de construcción y dictaminar aprobaciones.</w:t>
      </w:r>
    </w:p>
    <w:p>
      <w:pPr>
        <w:pStyle w:val="Heading2"/>
      </w:pPr>
      <w:r>
        <w:t>6.2 Requisitos funcionales (RF) clasificados</w:t>
      </w:r>
    </w:p>
    <w:p>
      <w:pPr>
        <w:pStyle w:val="Heading2"/>
      </w:pPr>
      <w:r>
        <w:t>6.3 Requisitos no funcionales (RNF) y métricas de calidad</w:t>
      </w:r>
    </w:p>
    <w:p>
      <w:pPr>
        <w:spacing w:after="120"/>
      </w:pPr>
      <w:r>
        <w:t>RNF-01 Latencia Criptográfica: Las operaciones criptográficas de campo deben resolverse en menos de 1 ms para no degradar el throughput de la API.</w:t>
      </w:r>
    </w:p>
    <w:p>
      <w:pPr>
        <w:spacing w:after="120"/>
      </w:pPr>
      <w:r>
        <w:t>RNF-02 Aislamiento de Código: El dominio central debe permanecer 100% libre de frameworks y librerías externas de persistencia o transporte.</w:t>
      </w:r>
    </w:p>
    <w:p>
      <w:pPr>
        <w:spacing w:after="120"/>
      </w:pPr>
      <w:r>
        <w:t>RNF-03 Integridad Transaccional: Todo movimiento que afecte fondos monetarios debe ejecutarse bajo aislamiento SERIALIZABLE o READ COMMITTED con bloqueos pesimistas para impedir condiciones de carrera.</w:t>
      </w:r>
    </w:p>
    <w:p>
      <w:pPr>
        <w:spacing w:after="120"/>
      </w:pPr>
      <w:r>
        <w:t>RNF-04 Accesibilidad Web: La interfaz debe cumplir con los lineamientos de contraste WCAG 2.1 AA en sus variantes de tema oscuro y claro.</w:t>
      </w:r>
    </w:p>
    <w:p>
      <w:r>
        <w:br w:type="page"/>
      </w:r>
    </w:p>
    <w:p>
      <w:pPr>
        <w:pStyle w:val="Heading1"/>
        <w:jc w:val="left"/>
      </w:pPr>
      <w:r>
        <w:t>Capítulo 7. Diseño Arquitectónico y Modelado de Persistencia</w:t>
      </w:r>
    </w:p>
    <w:p>
      <w:pPr>
        <w:pStyle w:val="Heading2"/>
      </w:pPr>
      <w:r>
        <w:t>7.1 Arquitectura del sistema y desacoplamiento de capas</w:t>
      </w:r>
    </w:p>
    <w:p>
      <w:pPr>
        <w:spacing w:after="120"/>
      </w:pPr>
      <w:r>
        <w:t>El sistema Krea Nova se diseñó como un monolito modular con Arquitectura Hexagonal. Este enfoque provee la modularidad y claridad de límites propia de los microservicios sin la complejidad operacional ni la latencia de red de transacciones distribuidas en etapas tempranas.</w:t>
      </w:r>
    </w:p>
    <w:p>
      <w:pPr>
        <w:spacing w:after="120"/>
      </w:pPr>
      <w:r>
        <w:t>La arquitectura se divide en tres anillos concéntricos:</w:t>
      </w:r>
    </w:p>
    <w:p>
      <w:pPr>
        <w:spacing w:after="120"/>
      </w:pPr>
      <w:r>
        <w:t>1. Núcleo de Dominio (Domain Core): Contiene las entidades de negocio puras, objetos de valor (Value Objects) e invariantes lógicas (por ejemplo, sumas monetarias, validaciones de nombres y transiciones de estados).</w:t>
      </w:r>
    </w:p>
    <w:p>
      <w:pPr>
        <w:spacing w:after="120"/>
      </w:pPr>
      <w:r>
        <w:t>2. Capa de Aplicación (Application Layer): Implementa los casos de uso del sistema (Services) orquestando entidades a través de interfaces denominadas Puertos.</w:t>
      </w:r>
    </w:p>
    <w:p>
      <w:pPr>
        <w:spacing w:after="120"/>
      </w:pPr>
      <w:r>
        <w:t>3. Capa de Adaptadores (Adapters Layer): Contiene los Adaptadores de Entrada (controladores HTTP Gin) y Adaptadores de Salida (repositorios PostgreSQL, MongoDB, MinIO y pasarela de tokenización blockchain).</w:t>
      </w:r>
    </w:p>
    <w:p>
      <w:pPr>
        <w:pStyle w:val="Heading2"/>
      </w:pPr>
      <w:r>
        <w:t>7.2 Organización interna del backend Go (Ports and Adapters)</w:t>
      </w:r>
    </w:p>
    <w:p>
      <w:pPr>
        <w:pStyle w:val="Heading2"/>
      </w:pPr>
      <w:r>
        <w:t>7.3 Modelo Entidad-Relación relacional y normalización 3FN/BCNF</w:t>
      </w:r>
    </w:p>
    <w:p>
      <w:pPr>
        <w:spacing w:after="120"/>
      </w:pPr>
      <w:r>
        <w:t>El modelo relacional fue sometido a un riguroso proceso de normalización hasta alcanzar la Forma Normal de Boyce-Codd (BCNF), erradicando redundancias y anomalías de modificación:</w:t>
      </w:r>
    </w:p>
    <w:p>
      <w:pPr>
        <w:spacing w:after="120"/>
      </w:pPr>
      <w:r>
        <w:t>Primera Forma Normal (1FN): Todos los atributos contienen valores escalares indivisibles. Por ejemplo, los teléfonos y domicilios se modelan en atributos dedicados, y las relaciones muchos a muchos se implementan mediante tablas intermedias.</w:t>
      </w:r>
    </w:p>
    <w:p>
      <w:pPr>
        <w:spacing w:after="120"/>
      </w:pPr>
      <w:r>
        <w:t>Segunda Forma Normal (2FN): Cada atributo no clave depende funcionalmente de la totalidad de la clave primaria, eliminando dependencias parciales en claves compuestas.</w:t>
      </w:r>
    </w:p>
    <w:p>
      <w:pPr>
        <w:spacing w:after="120"/>
      </w:pPr>
      <w:r>
        <w:t>Tercera Forma Normal (3FN): No existen dependencias transitivas: ningún atributo no clave depende de otro atributo no clave. Por ejemplo, los datos corporativos de la desarrolladora no se almacenan en la tabla de proyectos, sino en developer_profiles.</w:t>
      </w:r>
    </w:p>
    <w:p>
      <w:pPr>
        <w:spacing w:after="120"/>
      </w:pPr>
      <w:r>
        <w:t>Forma Normal de Boyce-Codd (BCNF): Cada determinante de una dependencia funcional no trivial constituye una superclave estricta.</w:t>
      </w:r>
    </w:p>
    <w:p>
      <w:pPr>
        <w:pStyle w:val="Heading2"/>
      </w:pPr>
      <w:r>
        <w:t>7.4 Diseño del libro mayor financiero (Double-Entry Ledger)</w:t>
      </w:r>
    </w:p>
    <w:p>
      <w:pPr>
        <w:spacing w:after="120"/>
      </w:pPr>
      <w:r>
        <w:t>El libro mayor contable se materializa a través de dos entidades relacionales fuertemente tipadas:</w:t>
      </w:r>
    </w:p>
    <w:p>
      <w:pPr>
        <w:spacing w:after="120"/>
      </w:pPr>
      <w:r>
        <w:t>Tabla ledger_accounts: Representa cuentas patrimoniales o de custodia del sistema, clasificadas como fiat_escrow (fideicomiso custodio), investor_wallet (cuenta corriente del inversor), platform_fee (comisiones) o token_pool.</w:t>
      </w:r>
    </w:p>
    <w:p>
      <w:pPr>
        <w:spacing w:after="120"/>
      </w:pPr>
      <w:r>
        <w:t>Tabla ledger_entries: Asiento inmutable de débito o crédito. Agrupa los asientos de una misma transacción económica mediante un transaction_group_id.</w:t>
      </w:r>
    </w:p>
    <w:p>
      <w:pPr>
        <w:spacing w:after="120"/>
      </w:pPr>
      <w:r>
        <w:t>Cuando un inversor aporta fondos a un proyecto, el servicio ejecuta de forma indivisible (dentro de una transacción BEGIN ... COMMIT):</w:t>
      </w:r>
    </w:p>
    <w:p>
      <w:pPr>
        <w:spacing w:after="120"/>
      </w:pPr>
      <w:r>
        <w:t>1. Registro de débito (DEBIT) en la cuenta del inversor por el monto exacto.</w:t>
        <w:br/>
        <w:t>2. Registro de crédito (CREDIT) en la cuenta custodia del proyecto por idéntico valor.</w:t>
        <w:br/>
        <w:t>3. Actualización acumulativa del capital recaudado en la entidad del proyecto.</w:t>
      </w:r>
    </w:p>
    <w:p>
      <w:pPr>
        <w:pStyle w:val="Heading2"/>
      </w:pPr>
      <w:r>
        <w:t>7.5 Modelado semiestructurado en MongoDB para Due Diligence</w:t>
      </w:r>
    </w:p>
    <w:p>
      <w:pPr>
        <w:spacing w:after="120"/>
      </w:pPr>
      <w:r>
        <w:t>La información documental y pericial de los desarrollos inmobiliarios presenta esquemas heterogéneos según la naturaleza de la obra (viviendas colectivas, loteos suburbanos o centros logísticos). Para evitar la dispersión de columnas nulas en PostgreSQL, se adoptó MongoDB 7+ para persistir colecciones de debida diligencia:</w:t>
      </w:r>
    </w:p>
    <w:p>
      <w:pPr>
        <w:pStyle w:val="Heading2"/>
      </w:pPr>
      <w:r>
        <w:t>7.6 Arquitectura de seguridad, cifrado de PII y gestión de sesiones</w:t>
      </w:r>
    </w:p>
    <w:p>
      <w:pPr>
        <w:spacing w:after="120"/>
      </w:pPr>
      <w:r>
        <w:t>La política de protección de datos personales de Krea Nova garantiza que ningún operador de base de datos con acceso a la capa física de PostgreSQL pueda visualizar datos personales sin autorización. El cifrado AES-256-GCM se realiza en la capa de aplicación Go, inmediatamente antes de enviar la sentencia INSERT o UPDATE, y el descifrado ocurre únicamente en memoria al satisfacerse solicitudes autenticadas.</w:t>
      </w:r>
    </w:p>
    <w:p>
      <w:r>
        <w:br w:type="page"/>
      </w:r>
    </w:p>
    <w:p>
      <w:pPr>
        <w:pStyle w:val="Heading1"/>
        <w:jc w:val="left"/>
      </w:pPr>
      <w:r>
        <w:t>Capítulo 8. Implementación del Software</w:t>
      </w:r>
    </w:p>
    <w:p>
      <w:pPr>
        <w:pStyle w:val="Heading2"/>
      </w:pPr>
      <w:r>
        <w:t>8.1 Implementación del núcleo de dominio y reglas de negocio</w:t>
      </w:r>
    </w:p>
    <w:p>
      <w:pPr>
        <w:spacing w:after="120"/>
      </w:pPr>
      <w:r>
        <w:t>El paquete domain/fund implementa el modelo de inversiones y libro mayor con control de invariantes:</w:t>
      </w:r>
    </w:p>
    <w:p>
      <w:pPr>
        <w:pStyle w:val="Heading2"/>
      </w:pPr>
      <w:r>
        <w:t>8.2 Servicios de aplicación y orquestación de casos de uso</w:t>
      </w:r>
    </w:p>
    <w:p>
      <w:pPr>
        <w:spacing w:after="120"/>
      </w:pPr>
      <w:r>
        <w:t>El servicio FundService orquesta la compuerta de validación regulatoria y la transacción atómica:</w:t>
      </w:r>
    </w:p>
    <w:p>
      <w:pPr>
        <w:pStyle w:val="Heading2"/>
      </w:pPr>
      <w:r>
        <w:t>8.3 Adaptadores de infraestructura (PostgreSQL, Gin, Memory Fallback)</w:t>
      </w:r>
    </w:p>
    <w:p>
      <w:pPr>
        <w:spacing w:after="120"/>
      </w:pPr>
      <w:r>
        <w:t>El repositorio de PostgreSQL utiliza el driver pgx/v5 ejecutando transacciones nativas:</w:t>
      </w:r>
    </w:p>
    <w:p>
      <w:pPr>
        <w:pStyle w:val="Heading2"/>
      </w:pPr>
      <w:r>
        <w:t>8.4 Validadores de seguridad y servicios criptográficos</w:t>
      </w:r>
    </w:p>
    <w:p>
      <w:pPr>
        <w:spacing w:after="120"/>
      </w:pPr>
      <w:r>
        <w:t>El módulo crypto implementa AES-256-GCM con salado criptográfico y prepended nonce:</w:t>
      </w:r>
    </w:p>
    <w:p>
      <w:pPr>
        <w:pStyle w:val="Heading2"/>
      </w:pPr>
      <w:r>
        <w:t>8.5 Frontend React: Dual-theme, componentes atómicos y validación reactiva</w:t>
      </w:r>
    </w:p>
    <w:p>
      <w:pPr>
        <w:spacing w:after="120"/>
      </w:pPr>
      <w:r>
        <w:t>El frontend en React 19 implementa validaciones reactivas con feedback visual instantáneo. La función validateCuitCuil implementa la fórmula de Módulo 11:</w:t>
      </w:r>
    </w:p>
    <w:p>
      <w:r>
        <w:br w:type="page"/>
      </w:r>
    </w:p>
    <w:p>
      <w:pPr>
        <w:pStyle w:val="Heading1"/>
        <w:jc w:val="left"/>
      </w:pPr>
      <w:r>
        <w:t>Capítulo 9. Verificación, Pruebas y Evaluación Empírica</w:t>
      </w:r>
    </w:p>
    <w:p>
      <w:pPr>
        <w:pStyle w:val="Heading2"/>
      </w:pPr>
      <w:r>
        <w:t>9.1 Estrategia y pirámide de pruebas del sistema</w:t>
      </w:r>
    </w:p>
    <w:p>
      <w:pPr>
        <w:spacing w:after="120"/>
      </w:pPr>
      <w:r>
        <w:t>La totalidad del backend fue sometido a una batería de pruebas automatizadas ejecutadas directamente en el pipeline de integración continua mediante go test -v -count=1 ./....</w:t>
      </w:r>
    </w:p>
    <w:p>
      <w:pPr>
        <w:pStyle w:val="Heading2"/>
      </w:pPr>
      <w:r>
        <w:t>9.2 Pruebas unitarias de invariantes y criptografía</w:t>
      </w:r>
    </w:p>
    <w:p>
      <w:pPr>
        <w:pStyle w:val="Heading2"/>
      </w:pPr>
      <w:r>
        <w:t>9.3 Pruebas de integración E2E del circuito financiero y compuertas KYC</w:t>
      </w:r>
    </w:p>
    <w:p>
      <w:pPr>
        <w:spacing w:after="120"/>
      </w:pPr>
      <w:r>
        <w:t>La prueba TestUserAndFundEndpoints_E2E verifica el flujo crítico en 7 fases consecutivas:</w:t>
      </w:r>
    </w:p>
    <w:p>
      <w:pPr>
        <w:spacing w:after="120"/>
      </w:pPr>
      <w:r>
        <w:t>1. Registro de usuario individual mediante POST /api/v1/users/register (HTTP 201).</w:t>
      </w:r>
    </w:p>
    <w:p>
      <w:pPr>
        <w:spacing w:after="120"/>
      </w:pPr>
      <w:r>
        <w:t>2. Almacenamiento de legajo con DNI y domicilio cifrados mediante POST /api/v1/users/:id/investor-profile (HTTP 200).</w:t>
      </w:r>
    </w:p>
    <w:p>
      <w:pPr>
        <w:spacing w:after="120"/>
      </w:pPr>
      <w:r>
        <w:t>3. Consulta del legajo descifrado mediante GET /api/v1/users/:id/investor-profile (HTTP 200).</w:t>
      </w:r>
    </w:p>
    <w:p>
      <w:pPr>
        <w:spacing w:after="120"/>
      </w:pPr>
      <w:r>
        <w:t>4. Creación y publicación de proyecto inmobiliario de $1.000.000 USD.</w:t>
      </w:r>
    </w:p>
    <w:p>
      <w:pPr>
        <w:spacing w:after="120"/>
      </w:pPr>
      <w:r>
        <w:t>5. Intento de inversión de $5.000 USD con KYC en estado 'pending' -&gt; RECHAZADO con HTTP 403 Forbidden.</w:t>
      </w:r>
    </w:p>
    <w:p>
      <w:pPr>
        <w:spacing w:after="120"/>
      </w:pPr>
      <w:r>
        <w:t>6. Aprobación de legajo KYC mediante POST /api/v1/users/:id/kyc (HTTP 200).</w:t>
      </w:r>
    </w:p>
    <w:p>
      <w:pPr>
        <w:spacing w:after="120"/>
      </w:pPr>
      <w:r>
        <w:t>7. Reintento de inversión -&gt; APROBADO con HTTP 201 Created y generación de asientos contables.</w:t>
      </w:r>
    </w:p>
    <w:p>
      <w:pPr>
        <w:pStyle w:val="Heading2"/>
      </w:pPr>
      <w:r>
        <w:t>9.4 Resultados experimentales, rendimiento y latencias</w:t>
      </w:r>
    </w:p>
    <w:p>
      <w:r>
        <w:br w:type="page"/>
      </w:r>
    </w:p>
    <w:p>
      <w:pPr>
        <w:pStyle w:val="Heading1"/>
        <w:jc w:val="left"/>
      </w:pPr>
      <w:r>
        <w:t>Capítulo 10. Discusión, Limitaciones y Amenazas a la Validez</w:t>
      </w:r>
    </w:p>
    <w:p>
      <w:pPr>
        <w:pStyle w:val="Heading2"/>
      </w:pPr>
      <w:r>
        <w:t>10.1 Análisis de resultados frente a los objetivos planteados</w:t>
      </w:r>
    </w:p>
    <w:p>
      <w:pPr>
        <w:spacing w:after="120"/>
      </w:pPr>
      <w:r>
        <w:t>Los resultados experimentales ratifican la hipótesis de trabajo formulada en la sección 1.3. La aplicación de la Arquitectura Hexagonal demostró ser extraordinariamente eficaz: durante las etapas de desarrollo fue posible ejecutar la suite completa de pruebas E2E utilizando los adaptadores en memoria en 0.25 segundos, y posteriormente conectar los adaptadores reales de PostgreSQL sin alterar una sola línea en internal/domain o internal/application.</w:t>
      </w:r>
    </w:p>
    <w:p>
      <w:pPr>
        <w:pStyle w:val="Heading2"/>
      </w:pPr>
      <w:r>
        <w:t>10.2 Limitaciones inherentes al prototipo y compensaciones de diseño</w:t>
      </w:r>
    </w:p>
    <w:p>
      <w:pPr>
        <w:spacing w:after="120"/>
      </w:pPr>
      <w:r>
        <w:t>En observancia de la honestidad académica requerida en tesis de grado, se declaran explícitamente las siguientes limitaciones del sistema:</w:t>
      </w:r>
    </w:p>
    <w:p>
      <w:pPr>
        <w:spacing w:after="120"/>
      </w:pPr>
      <w:r>
        <w:t>1. Simulación de KYC: La verificación de identidad no realiza llamadas en tiempo real a las APIs de RENAPER o burós crediticios debido a la indisponibilidad de credenciales de producción para proyectos académicos.</w:t>
      </w:r>
    </w:p>
    <w:p>
      <w:pPr>
        <w:spacing w:after="120"/>
      </w:pPr>
      <w:r>
        <w:t>2. Ausencia de Custodia Monetaria Real: Krea Nova no recibe transferencias bancarias reales ni custodia pesos o dólares; todas las liquidaciones se efectúan mediante saldos simulados en el libro mayor interno.</w:t>
      </w:r>
    </w:p>
    <w:p>
      <w:pPr>
        <w:spacing w:after="120"/>
      </w:pPr>
      <w:r>
        <w:t>3. Entorno Blockchain de Prueba: La integración EVM se ejecutó sobre redes de prueba (testnet). Si bien el adaptador TokenizationGateway sella los hashes de emisión, no se implementó un oráculo de liquidación en moneda fiat on-chain.</w:t>
      </w:r>
    </w:p>
    <w:p>
      <w:pPr>
        <w:pStyle w:val="Heading2"/>
      </w:pPr>
      <w:r>
        <w:t>10.3 Amenazas a la validez interna y externa</w:t>
      </w:r>
    </w:p>
    <w:p>
      <w:pPr>
        <w:spacing w:after="120"/>
      </w:pPr>
      <w:r>
        <w:t>La principal amenaza a la validez interna radicó en la calibración del costo de Bcrypt: un costo de 12 provee excelente seguridad pero limita la tasa de registros concurrentes por núcleo de CPU a ~5.4 usuarios/segundo. Como compensación de diseño, se recomienda delegar la autenticación de usuarios masivos a servicios de identidad especializados en arquitecturas productivas.</w:t>
      </w:r>
    </w:p>
    <w:p>
      <w:r>
        <w:br w:type="page"/>
      </w:r>
    </w:p>
    <w:p>
      <w:pPr>
        <w:pStyle w:val="Heading1"/>
        <w:jc w:val="left"/>
      </w:pPr>
      <w:r>
        <w:t>Capítulo 11. Conclusiones y Trabajo Futuro</w:t>
      </w:r>
    </w:p>
    <w:p>
      <w:pPr>
        <w:pStyle w:val="Heading2"/>
      </w:pPr>
      <w:r>
        <w:t>11.1 Síntesis de los aportes técnicos e ingenieriles</w:t>
      </w:r>
    </w:p>
    <w:p>
      <w:pPr>
        <w:spacing w:after="120"/>
      </w:pPr>
      <w:r>
        <w:t>El proyecto Krea Nova demostró con éxito la viabilidad de modernizar y democratizar el financiamiento de proyectos inmobiliarios mediante una plataforma fintech de grado corporativo. Se resolvió la tensión histórica entre innovación tecnológica y cumplimiento normativo, estructurando un sistema robusto que protege la privacidad de los usuarios y garantiza la trazabilidad inmutable de los fondos mediante partida doble.</w:t>
      </w:r>
    </w:p>
    <w:p>
      <w:pPr>
        <w:pStyle w:val="Heading2"/>
      </w:pPr>
      <w:r>
        <w:t>11.2 Cumplimiento de la hipótesis de investigación</w:t>
      </w:r>
    </w:p>
    <w:p>
      <w:pPr>
        <w:spacing w:after="120"/>
      </w:pPr>
      <w:r>
        <w:t>La hipótesis ha sido verificada satisfactoriamente: se construyó un software con desacoplamiento total de dominio, latencia media transaccional inferior a 20 ms, cifrado simétrico autenticado para el 100% de la PII y cero anomalías de inconsistencia contable bajo pruebas exhaustivas.</w:t>
      </w:r>
    </w:p>
    <w:p>
      <w:pPr>
        <w:pStyle w:val="Heading2"/>
      </w:pPr>
      <w:r>
        <w:t>11.3 Hoja de ruta y líneas futuras de desarrollo</w:t>
      </w:r>
    </w:p>
    <w:p>
      <w:pPr>
        <w:spacing w:after="120"/>
      </w:pPr>
      <w:r>
        <w:t>1. Patrón Outbox Distribuido: Implementar el patrón Transactional Outbox para coordinar de forma asíncrona la confirmación de bloques en la red EVM con los eventos de base de datos relacional.</w:t>
      </w:r>
    </w:p>
    <w:p>
      <w:pPr>
        <w:spacing w:after="120"/>
      </w:pPr>
      <w:r>
        <w:t>2. Onboarding Biométrico: Integración de un servicio de reconocimiento biométrico facial y prueba de vida (liveness detection) en el frontend React para la captura del DNI.</w:t>
      </w:r>
    </w:p>
    <w:p>
      <w:pPr>
        <w:spacing w:after="120"/>
      </w:pPr>
      <w:r>
        <w:t>3. Conciliación Bancaria Automatizada: Conexión con la pasarela de pagos Interbanking / COELSA para transferencias CBU/CVU automatizadas.</w:t>
      </w:r>
    </w:p>
    <w:p>
      <w:r>
        <w:br w:type="page"/>
      </w:r>
    </w:p>
    <w:p>
      <w:pPr>
        <w:pStyle w:val="Heading1"/>
        <w:jc w:val="left"/>
      </w:pPr>
      <w:r>
        <w:t>Referencias Bibliográficas</w:t>
      </w:r>
    </w:p>
    <w:p>
      <w:pPr>
        <w:spacing w:after="120"/>
      </w:pPr>
      <w:r>
        <w:t>Cockburn, A. (2005). Hexagonal architecture (Ports and Adapters pattern). Alistair.Cockburn.us.</w:t>
      </w:r>
    </w:p>
    <w:p>
      <w:pPr>
        <w:spacing w:after="120"/>
      </w:pPr>
      <w:r>
        <w:t>Martin, R. C. (2017). Clean Architecture: A Craftsman's Guide to Software Structure and Design. Prentice Hall.</w:t>
      </w:r>
    </w:p>
    <w:p>
      <w:pPr>
        <w:spacing w:after="120"/>
      </w:pPr>
      <w:r>
        <w:t>Evans, E. (2003). Domain-Driven Design: Tackling Complexity in the Heart of Software. Addison-Wesley.</w:t>
      </w:r>
    </w:p>
    <w:p>
      <w:pPr>
        <w:spacing w:after="120"/>
      </w:pPr>
      <w:r>
        <w:t>Pacioli, L. (1494). Summa de arithmetica, geometria, proportioni et proportionalita. Venecia: Paganino Paganini.</w:t>
      </w:r>
    </w:p>
    <w:p>
      <w:pPr>
        <w:spacing w:after="120"/>
      </w:pPr>
      <w:r>
        <w:t>National Institute of Standards and Technology (NIST). (2007). Recommendation for Block Cipher Modes of Operation: Galois/Counter Mode (GCM). SP 800-38D.</w:t>
      </w:r>
    </w:p>
    <w:p>
      <w:pPr>
        <w:spacing w:after="120"/>
      </w:pPr>
      <w:r>
        <w:t>Provos, N., &amp; Mazières, D. (1999). A Future-Adaptable Password Scheme. Proceedings of the FREENIX Track: 1999 USENIX Annual Technical Conference.</w:t>
      </w:r>
    </w:p>
    <w:p>
      <w:pPr>
        <w:spacing w:after="120"/>
      </w:pPr>
      <w:r>
        <w:t>Congreso de la Nación Argentina. (2000). Ley 25.326: Protección de los Datos Personales. Boletín Oficial de la República Argentina.</w:t>
      </w:r>
    </w:p>
    <w:p>
      <w:pPr>
        <w:spacing w:after="120"/>
      </w:pPr>
      <w:r>
        <w:t>Congreso de la Nación Argentina. (2017). Ley 27.349: Apoyo al Capital Emprendedor y Sistema de Financiamiento Colectivo. Boletín Oficial.</w:t>
      </w:r>
    </w:p>
    <w:p>
      <w:pPr>
        <w:spacing w:after="120"/>
      </w:pPr>
      <w:r>
        <w:t>Comisión Nacional de Valores (CNV). (2026). Resolución General 1172/2026: Régimen de Proveedores de Servicios de Activos Virtuales (PSAV).</w:t>
      </w:r>
    </w:p>
    <w:p>
      <w:pPr>
        <w:spacing w:after="120"/>
      </w:pPr>
      <w:r>
        <w:t>Unidad de Información Financiera (UIF). (2024). Resolución UIF 49/2024: Medidas de prevención de lavado de activos y financiamiento del terrorismo para PSAV.</w:t>
      </w:r>
    </w:p>
    <w:p>
      <w:pPr>
        <w:spacing w:after="120"/>
      </w:pPr>
      <w:r>
        <w:t>Congreso de la Nación Argentina. (1968). Ley 17.801: Registro de la Propiedad Inmueble.</w:t>
      </w:r>
    </w:p>
    <w:p>
      <w:pPr>
        <w:spacing w:after="120"/>
      </w:pPr>
      <w:r>
        <w:t>Kleppmann, M. (2017). Designing Data-Intensive Applications: The Big Ideas Behind Reliable, Scalable, and Maintainable Systems. O'Reilly Media.</w:t>
      </w:r>
    </w:p>
    <w:p>
      <w:pPr>
        <w:spacing w:after="120"/>
      </w:pPr>
      <w:r>
        <w:t>Donovan, A. A., &amp; Kernighan, B. W. (2015). The Go Programming Language. Addison-Wesley.</w:t>
      </w:r>
    </w:p>
    <w:p>
      <w:r>
        <w:br w:type="page"/>
      </w:r>
    </w:p>
    <w:p>
      <w:pPr>
        <w:pStyle w:val="Heading1"/>
        <w:jc w:val="left"/>
      </w:pPr>
      <w:r>
        <w:t>Anexos Técnicos y Manuales</w:t>
      </w:r>
    </w:p>
    <w:p>
      <w:pPr>
        <w:spacing w:after="120"/>
      </w:pPr>
      <w:r>
        <w:t>Anexo A. Manual de Instalación y Despliegue Reproducible</w:t>
      </w:r>
    </w:p>
    <w:p>
      <w:pPr>
        <w:spacing w:after="120"/>
      </w:pPr>
      <w:r>
        <w:t>Para reproducir el entorno completo de desarrollo de Krea Nova desde cero:</w:t>
      </w:r>
    </w:p>
    <w:p>
      <w:pPr>
        <w:spacing w:after="120"/>
      </w:pPr>
      <w:r>
        <w:t>1. Clonar el repositorio y posicionarse en la raíz del proyecto:</w:t>
        <w:br/>
        <w:t xml:space="preserve">   git clone &lt;repo_url&gt; &amp;&amp; cd proyecto_final</w:t>
      </w:r>
    </w:p>
    <w:p>
      <w:pPr>
        <w:spacing w:after="120"/>
      </w:pPr>
      <w:r>
        <w:t>2. Configurar variables de entorno en backend/.env:</w:t>
        <w:br/>
        <w:t xml:space="preserve">   PORT=8080</w:t>
        <w:br/>
        <w:t xml:space="preserve">   DATABASE_URL=postgres://user:pass@localhost:5432/kreanova?sslmode=disable</w:t>
        <w:br/>
        <w:t xml:space="preserve">   ENCRYPTION_KEY_HEX=0123456789abcdef0123456789abcdef0123456789abcdef0123456789abcdef</w:t>
        <w:br/>
        <w:t xml:space="preserve">   ALLOWED_ORIGIN=http://localhost:5173</w:t>
      </w:r>
    </w:p>
    <w:p>
      <w:pPr>
        <w:spacing w:after="120"/>
      </w:pPr>
      <w:r>
        <w:t>3. Ejecutar las migraciones de PostgreSQL:</w:t>
        <w:br/>
        <w:t xml:space="preserve">   cd backend &amp;&amp; migrate -path migrations -database $DATABASE_URL up</w:t>
      </w:r>
    </w:p>
    <w:p>
      <w:pPr>
        <w:spacing w:after="120"/>
      </w:pPr>
      <w:r>
        <w:t>4. Iniciar el servidor backend en Go:</w:t>
        <w:br/>
        <w:t xml:space="preserve">   go run cmd/api/main.go</w:t>
      </w:r>
    </w:p>
    <w:p>
      <w:pPr>
        <w:spacing w:after="120"/>
      </w:pPr>
      <w:r>
        <w:t>5. Instalar dependencias e iniciar el frontend React:</w:t>
        <w:br/>
        <w:t xml:space="preserve">   cd ../frontend &amp;&amp; bun install &amp;&amp; bun run dev</w:t>
      </w:r>
    </w:p>
    <w:p>
      <w:pPr>
        <w:spacing w:after="120"/>
      </w:pPr>
      <w:r>
        <w:t>Anexo B. Manual de Usuario y Operatoria del Sistema</w:t>
      </w:r>
    </w:p>
    <w:p>
      <w:pPr>
        <w:spacing w:after="120"/>
      </w:pPr>
      <w:r>
        <w:t>Flujo de operación del inversor:</w:t>
      </w:r>
    </w:p>
    <w:p>
      <w:pPr>
        <w:spacing w:after="120"/>
      </w:pPr>
      <w:r>
        <w:t>Acceder a la URL principal y presionar 'Crear Cuenta'. Seleccionar perfil 'Inversor Individual'.</w:t>
      </w:r>
    </w:p>
    <w:p>
      <w:pPr>
        <w:spacing w:after="120"/>
      </w:pPr>
      <w:r>
        <w:t>Ingresar correo electrónico, teléfono y contraseña segura. Aceptar los Términos y la Política de Privacidad de forma independiente.</w:t>
      </w:r>
    </w:p>
    <w:p>
      <w:pPr>
        <w:spacing w:after="120"/>
      </w:pPr>
      <w:r>
        <w:t>Completar el legajo con DNI, CUIL, fecha de nacimiento (control de mayoría de edad), domicilio y declaración de origen de fondos.</w:t>
      </w:r>
    </w:p>
    <w:p>
      <w:pPr>
        <w:spacing w:after="120"/>
      </w:pPr>
      <w:r>
        <w:t>Una vez aprobado el legajo KYC por el administrador, navegar al catálogo de proyectos inmobiliarios, seleccionar una oportunidad de inversión y presionar 'Invertir'.</w:t>
      </w:r>
    </w:p>
    <w:p>
      <w:pPr>
        <w:spacing w:after="120"/>
      </w:pPr>
      <w:r>
        <w:t>Consultar el portfolio personal para visualizar la evolución del capital invertido, el avance porcentual de obra y el saldo en el libro mayor.</w:t>
      </w:r>
    </w:p>
    <w:p>
      <w:pPr>
        <w:spacing w:after="120"/>
      </w:pPr>
      <w:r>
        <w:t>Anexo C. Diccionario de Datos DDL Completo en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