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782B" w14:textId="77777777" w:rsidR="007066BE" w:rsidRPr="007066BE" w:rsidRDefault="007066BE" w:rsidP="007066BE">
      <w:pPr>
        <w:pStyle w:val="Heading1"/>
        <w:rPr>
          <w:lang w:val="it-IT"/>
        </w:rPr>
      </w:pPr>
      <w:bookmarkStart w:id="0" w:name="_Toc182757141"/>
      <w:r w:rsidRPr="007066BE">
        <w:rPr>
          <w:lang w:val="it-IT"/>
        </w:rPr>
        <w:t>Valutazione delle Implicazioni Etiche dell'Intelligenza Artificiale nelle Scuole</w:t>
      </w:r>
      <w:bookmarkEnd w:id="0"/>
    </w:p>
    <w:p w14:paraId="4410DBAB" w14:textId="77777777" w:rsidR="007066BE" w:rsidRPr="007066BE" w:rsidRDefault="007066BE" w:rsidP="007066BE">
      <w:pPr>
        <w:pStyle w:val="Heading2"/>
        <w:rPr>
          <w:lang w:val="it-IT"/>
        </w:rPr>
      </w:pPr>
      <w:bookmarkStart w:id="1" w:name="_Toc182757142"/>
      <w:r w:rsidRPr="007066BE">
        <w:rPr>
          <w:lang w:val="it-IT"/>
        </w:rPr>
        <w:t>1. Introduzione</w:t>
      </w:r>
      <w:bookmarkEnd w:id="1"/>
    </w:p>
    <w:p w14:paraId="55C804FD" w14:textId="77777777" w:rsidR="007066BE" w:rsidRPr="007066BE" w:rsidRDefault="007066BE" w:rsidP="007066BE">
      <w:pPr>
        <w:rPr>
          <w:lang w:val="it-IT"/>
        </w:rPr>
      </w:pPr>
      <w:r w:rsidRPr="007066BE">
        <w:rPr>
          <w:lang w:val="it-IT"/>
        </w:rPr>
        <w:t>L'introduzione dell'intelligenza artificiale (IA) nelle scuole presenta numerosi vantaggi, ma solleva anche importanti questioni etiche che devono essere attentamente considerate. Questo rapporto esamina le implicazioni etiche dell'insegnamento dell'IA nelle scuole, con l'obiettivo di garantire che l'educazione all'IA sia condotta in modo responsabile e inclusivo.</w:t>
      </w:r>
    </w:p>
    <w:p w14:paraId="75743DE4" w14:textId="77777777" w:rsidR="007066BE" w:rsidRPr="007066BE" w:rsidRDefault="007066BE" w:rsidP="007066BE">
      <w:pPr>
        <w:pStyle w:val="Heading2"/>
        <w:rPr>
          <w:lang w:val="it-IT"/>
        </w:rPr>
      </w:pPr>
      <w:bookmarkStart w:id="2" w:name="_Toc182757143"/>
      <w:r w:rsidRPr="007066BE">
        <w:rPr>
          <w:lang w:val="it-IT"/>
        </w:rPr>
        <w:t>2. Implicazioni Etiche</w:t>
      </w:r>
      <w:bookmarkEnd w:id="2"/>
    </w:p>
    <w:p w14:paraId="077747D2" w14:textId="77777777" w:rsidR="007066BE" w:rsidRPr="007066BE" w:rsidRDefault="007066BE" w:rsidP="007066BE">
      <w:pPr>
        <w:pStyle w:val="Heading3"/>
        <w:rPr>
          <w:lang w:val="it-IT"/>
        </w:rPr>
      </w:pPr>
      <w:bookmarkStart w:id="3" w:name="_Toc182757144"/>
      <w:r w:rsidRPr="007066BE">
        <w:rPr>
          <w:lang w:val="it-IT"/>
        </w:rPr>
        <w:t>2.1 Accesso Equo e Inclusività</w:t>
      </w:r>
      <w:bookmarkEnd w:id="3"/>
    </w:p>
    <w:p w14:paraId="060AFDA9" w14:textId="77777777" w:rsidR="007066BE" w:rsidRPr="007066BE" w:rsidRDefault="007066BE" w:rsidP="007066BE">
      <w:pPr>
        <w:numPr>
          <w:ilvl w:val="0"/>
          <w:numId w:val="6"/>
        </w:numPr>
        <w:rPr>
          <w:lang w:val="it-IT"/>
        </w:rPr>
      </w:pPr>
      <w:r w:rsidRPr="007066BE">
        <w:rPr>
          <w:b/>
          <w:bCs/>
          <w:lang w:val="it-IT"/>
        </w:rPr>
        <w:t>Disparità di Risorse</w:t>
      </w:r>
      <w:r w:rsidRPr="007066BE">
        <w:rPr>
          <w:lang w:val="it-IT"/>
        </w:rPr>
        <w:t>: Non tutte le scuole hanno accesso alle stesse risorse tecnologiche. È essenziale garantire che l'introduzione dell'IA non esacerbi le disuguaglianze esistenti. Le scuole in aree svantaggiate devono ricevere supporto adeguato per accedere alle tecnologie necessarie.</w:t>
      </w:r>
    </w:p>
    <w:p w14:paraId="6EB202F9" w14:textId="77777777" w:rsidR="007066BE" w:rsidRPr="007066BE" w:rsidRDefault="007066BE" w:rsidP="007066BE">
      <w:pPr>
        <w:numPr>
          <w:ilvl w:val="0"/>
          <w:numId w:val="6"/>
        </w:numPr>
        <w:rPr>
          <w:lang w:val="it-IT"/>
        </w:rPr>
      </w:pPr>
      <w:r w:rsidRPr="007066BE">
        <w:rPr>
          <w:b/>
          <w:bCs/>
          <w:lang w:val="it-IT"/>
        </w:rPr>
        <w:t>Inclusione di Tutti gli Studenti</w:t>
      </w:r>
      <w:r w:rsidRPr="007066BE">
        <w:rPr>
          <w:lang w:val="it-IT"/>
        </w:rPr>
        <w:t>: L'IA deve essere insegnata in modo che tutti gli studenti, indipendentemente dal loro background socio-economico, etnia, genere o abilità, possano partecipare e beneficiare dell'educazione all'IA.</w:t>
      </w:r>
    </w:p>
    <w:p w14:paraId="3E290EB5" w14:textId="77777777" w:rsidR="007066BE" w:rsidRPr="007066BE" w:rsidRDefault="007066BE" w:rsidP="007066BE">
      <w:pPr>
        <w:pStyle w:val="Heading3"/>
      </w:pPr>
      <w:bookmarkStart w:id="4" w:name="_Toc182757145"/>
      <w:r w:rsidRPr="007066BE">
        <w:t>2.2 Privacy e Sicurezza dei Dati</w:t>
      </w:r>
      <w:bookmarkEnd w:id="4"/>
    </w:p>
    <w:p w14:paraId="48260028" w14:textId="77777777" w:rsidR="007066BE" w:rsidRPr="007066BE" w:rsidRDefault="007066BE" w:rsidP="007066BE">
      <w:pPr>
        <w:numPr>
          <w:ilvl w:val="0"/>
          <w:numId w:val="7"/>
        </w:numPr>
        <w:rPr>
          <w:lang w:val="it-IT"/>
        </w:rPr>
      </w:pPr>
      <w:r w:rsidRPr="007066BE">
        <w:rPr>
          <w:b/>
          <w:bCs/>
          <w:lang w:val="it-IT"/>
        </w:rPr>
        <w:t>Protezione dei Dati degli Studenti</w:t>
      </w:r>
      <w:r w:rsidRPr="007066BE">
        <w:rPr>
          <w:lang w:val="it-IT"/>
        </w:rPr>
        <w:t>: L'uso di strumenti e piattaforme di IA nelle scuole deve rispettare rigorose norme di privacy e sicurezza. I dati degli studenti devono essere protetti da accessi non autorizzati e usi impropri.</w:t>
      </w:r>
    </w:p>
    <w:p w14:paraId="74E0E687" w14:textId="77777777" w:rsidR="007066BE" w:rsidRPr="007066BE" w:rsidRDefault="007066BE" w:rsidP="007066BE">
      <w:pPr>
        <w:numPr>
          <w:ilvl w:val="0"/>
          <w:numId w:val="7"/>
        </w:numPr>
        <w:rPr>
          <w:lang w:val="it-IT"/>
        </w:rPr>
      </w:pPr>
      <w:r w:rsidRPr="007066BE">
        <w:rPr>
          <w:b/>
          <w:bCs/>
          <w:lang w:val="it-IT"/>
        </w:rPr>
        <w:t>Consenso Informato</w:t>
      </w:r>
      <w:r w:rsidRPr="007066BE">
        <w:rPr>
          <w:lang w:val="it-IT"/>
        </w:rPr>
        <w:t>: È importante che i genitori e gli studenti siano informati su come i loro dati saranno utilizzati e abbiano la possibilità di dare o negare il consenso.</w:t>
      </w:r>
    </w:p>
    <w:p w14:paraId="72F8CDBD" w14:textId="77777777" w:rsidR="007066BE" w:rsidRPr="007066BE" w:rsidRDefault="007066BE" w:rsidP="007066BE">
      <w:pPr>
        <w:pStyle w:val="Heading3"/>
      </w:pPr>
      <w:bookmarkStart w:id="5" w:name="_Toc182757146"/>
      <w:r w:rsidRPr="007066BE">
        <w:t>2.3 Bias e Discriminazione</w:t>
      </w:r>
      <w:bookmarkEnd w:id="5"/>
    </w:p>
    <w:p w14:paraId="4DF9BFE0" w14:textId="77777777" w:rsidR="007066BE" w:rsidRPr="007066BE" w:rsidRDefault="007066BE" w:rsidP="007066BE">
      <w:pPr>
        <w:numPr>
          <w:ilvl w:val="0"/>
          <w:numId w:val="8"/>
        </w:numPr>
        <w:rPr>
          <w:lang w:val="it-IT"/>
        </w:rPr>
      </w:pPr>
      <w:r w:rsidRPr="007066BE">
        <w:rPr>
          <w:b/>
          <w:bCs/>
          <w:lang w:val="it-IT"/>
        </w:rPr>
        <w:t>Bias negli Algoritmi</w:t>
      </w:r>
      <w:r w:rsidRPr="007066BE">
        <w:rPr>
          <w:lang w:val="it-IT"/>
        </w:rPr>
        <w:t>: Gli algoritmi di IA possono riflettere e amplificare i pregiudizi esistenti. È cruciale educare gli studenti sui potenziali bias negli algoritmi e su come mitigarli.</w:t>
      </w:r>
    </w:p>
    <w:p w14:paraId="0142C3BA" w14:textId="77777777" w:rsidR="007066BE" w:rsidRPr="007066BE" w:rsidRDefault="007066BE" w:rsidP="007066BE">
      <w:pPr>
        <w:numPr>
          <w:ilvl w:val="0"/>
          <w:numId w:val="8"/>
        </w:numPr>
        <w:rPr>
          <w:lang w:val="it-IT"/>
        </w:rPr>
      </w:pPr>
      <w:r w:rsidRPr="007066BE">
        <w:rPr>
          <w:b/>
          <w:bCs/>
          <w:lang w:val="it-IT"/>
        </w:rPr>
        <w:t>Equità nell'IA</w:t>
      </w:r>
      <w:r w:rsidRPr="007066BE">
        <w:rPr>
          <w:lang w:val="it-IT"/>
        </w:rPr>
        <w:t>: Gli studenti devono essere sensibilizzati sull'importanza di sviluppare sistemi di IA equi e inclusivi, che non discriminino nessun gruppo.</w:t>
      </w:r>
    </w:p>
    <w:p w14:paraId="795B77C1" w14:textId="77777777" w:rsidR="007066BE" w:rsidRPr="007066BE" w:rsidRDefault="007066BE" w:rsidP="007066BE">
      <w:pPr>
        <w:pStyle w:val="Heading3"/>
      </w:pPr>
      <w:bookmarkStart w:id="6" w:name="_Toc182757147"/>
      <w:r w:rsidRPr="007066BE">
        <w:t>2.4 Responsabilità e Trasparenza</w:t>
      </w:r>
      <w:bookmarkEnd w:id="6"/>
    </w:p>
    <w:p w14:paraId="450E285E" w14:textId="77777777" w:rsidR="007066BE" w:rsidRPr="007066BE" w:rsidRDefault="007066BE" w:rsidP="007066BE">
      <w:pPr>
        <w:numPr>
          <w:ilvl w:val="0"/>
          <w:numId w:val="9"/>
        </w:numPr>
        <w:rPr>
          <w:lang w:val="it-IT"/>
        </w:rPr>
      </w:pPr>
      <w:r w:rsidRPr="007066BE">
        <w:rPr>
          <w:b/>
          <w:bCs/>
          <w:lang w:val="it-IT"/>
        </w:rPr>
        <w:t>Responsabilità degli Sviluppatori</w:t>
      </w:r>
      <w:r w:rsidRPr="007066BE">
        <w:rPr>
          <w:lang w:val="it-IT"/>
        </w:rPr>
        <w:t>: Gli studenti devono comprendere la responsabilità etica degli sviluppatori di IA. Devono essere incoraggiati a considerare l'impatto delle loro creazioni sulla società.</w:t>
      </w:r>
    </w:p>
    <w:p w14:paraId="4B2F69E7" w14:textId="77777777" w:rsidR="007066BE" w:rsidRPr="007066BE" w:rsidRDefault="007066BE" w:rsidP="007066BE">
      <w:pPr>
        <w:numPr>
          <w:ilvl w:val="0"/>
          <w:numId w:val="9"/>
        </w:numPr>
        <w:rPr>
          <w:lang w:val="it-IT"/>
        </w:rPr>
      </w:pPr>
      <w:r w:rsidRPr="007066BE">
        <w:rPr>
          <w:b/>
          <w:bCs/>
          <w:lang w:val="it-IT"/>
        </w:rPr>
        <w:t>Trasparenza degli Algoritmi</w:t>
      </w:r>
      <w:r w:rsidRPr="007066BE">
        <w:rPr>
          <w:lang w:val="it-IT"/>
        </w:rPr>
        <w:t>: È importante insegnare l'importanza della trasparenza negli algoritmi di IA, in modo che le decisioni prese dagli algoritmi possano essere comprese e contestate se necessario.</w:t>
      </w:r>
    </w:p>
    <w:p w14:paraId="74FE8EE4" w14:textId="77777777" w:rsidR="007066BE" w:rsidRPr="007066BE" w:rsidRDefault="007066BE" w:rsidP="007066BE">
      <w:pPr>
        <w:pStyle w:val="Heading3"/>
      </w:pPr>
      <w:bookmarkStart w:id="7" w:name="_Toc182757148"/>
      <w:r w:rsidRPr="007066BE">
        <w:t>2.5 Impatto Sociale e Lavorativo</w:t>
      </w:r>
      <w:bookmarkEnd w:id="7"/>
    </w:p>
    <w:p w14:paraId="64BCC812" w14:textId="77777777" w:rsidR="007066BE" w:rsidRPr="007066BE" w:rsidRDefault="007066BE" w:rsidP="007066BE">
      <w:pPr>
        <w:numPr>
          <w:ilvl w:val="0"/>
          <w:numId w:val="10"/>
        </w:numPr>
        <w:rPr>
          <w:lang w:val="it-IT"/>
        </w:rPr>
      </w:pPr>
      <w:r w:rsidRPr="007066BE">
        <w:rPr>
          <w:b/>
          <w:bCs/>
          <w:lang w:val="it-IT"/>
        </w:rPr>
        <w:t>Preparazione al Cambiamento</w:t>
      </w:r>
      <w:r w:rsidRPr="007066BE">
        <w:rPr>
          <w:lang w:val="it-IT"/>
        </w:rPr>
        <w:t>: L'IA avrà un impatto significativo sul mercato del lavoro. Gli studenti devono essere preparati a navigare in un mondo in cui molte professioni saranno trasformate o sostituite dall'IA.</w:t>
      </w:r>
    </w:p>
    <w:p w14:paraId="3954557F" w14:textId="77777777" w:rsidR="007066BE" w:rsidRPr="007066BE" w:rsidRDefault="007066BE" w:rsidP="007066BE">
      <w:pPr>
        <w:numPr>
          <w:ilvl w:val="0"/>
          <w:numId w:val="10"/>
        </w:numPr>
        <w:rPr>
          <w:lang w:val="it-IT"/>
        </w:rPr>
      </w:pPr>
      <w:r w:rsidRPr="007066BE">
        <w:rPr>
          <w:b/>
          <w:bCs/>
          <w:lang w:val="it-IT"/>
        </w:rPr>
        <w:t>Consapevolezza Sociale</w:t>
      </w:r>
      <w:r w:rsidRPr="007066BE">
        <w:rPr>
          <w:lang w:val="it-IT"/>
        </w:rPr>
        <w:t>: Gli studenti devono essere educati sulle implicazioni sociali dell'IA, inclusi i potenziali effetti sulla disoccupazione e sulla disuguaglianza economica.</w:t>
      </w:r>
    </w:p>
    <w:p w14:paraId="7360C5BF" w14:textId="77777777" w:rsidR="007066BE" w:rsidRPr="007066BE" w:rsidRDefault="007066BE" w:rsidP="007066BE">
      <w:pPr>
        <w:pStyle w:val="Heading2"/>
      </w:pPr>
      <w:bookmarkStart w:id="8" w:name="_Toc182757149"/>
      <w:r w:rsidRPr="007066BE">
        <w:t>3. Raccomandazioni Etiche</w:t>
      </w:r>
      <w:bookmarkEnd w:id="8"/>
    </w:p>
    <w:p w14:paraId="628F1DB5" w14:textId="77777777" w:rsidR="007066BE" w:rsidRPr="007066BE" w:rsidRDefault="007066BE" w:rsidP="007066BE">
      <w:pPr>
        <w:numPr>
          <w:ilvl w:val="0"/>
          <w:numId w:val="11"/>
        </w:numPr>
        <w:rPr>
          <w:lang w:val="it-IT"/>
        </w:rPr>
      </w:pPr>
      <w:r w:rsidRPr="007066BE">
        <w:rPr>
          <w:b/>
          <w:bCs/>
          <w:lang w:val="it-IT"/>
        </w:rPr>
        <w:t>Formazione Etica</w:t>
      </w:r>
      <w:r w:rsidRPr="007066BE">
        <w:rPr>
          <w:lang w:val="it-IT"/>
        </w:rPr>
        <w:t>: Integrare l'educazione etica nel curriculum di IA, per sensibilizzare gli studenti sulle questioni etiche legate all'IA.</w:t>
      </w:r>
    </w:p>
    <w:p w14:paraId="27738332" w14:textId="77777777" w:rsidR="007066BE" w:rsidRPr="007066BE" w:rsidRDefault="007066BE" w:rsidP="007066BE">
      <w:pPr>
        <w:numPr>
          <w:ilvl w:val="0"/>
          <w:numId w:val="11"/>
        </w:numPr>
        <w:rPr>
          <w:lang w:val="it-IT"/>
        </w:rPr>
      </w:pPr>
      <w:r w:rsidRPr="007066BE">
        <w:rPr>
          <w:b/>
          <w:bCs/>
          <w:lang w:val="it-IT"/>
        </w:rPr>
        <w:t>Politiche di Privacy</w:t>
      </w:r>
      <w:r w:rsidRPr="007066BE">
        <w:rPr>
          <w:lang w:val="it-IT"/>
        </w:rPr>
        <w:t>: Implementare politiche rigorose di privacy e sicurezza dei dati nelle scuole.</w:t>
      </w:r>
    </w:p>
    <w:p w14:paraId="157CD1DC" w14:textId="77777777" w:rsidR="007066BE" w:rsidRPr="007066BE" w:rsidRDefault="007066BE" w:rsidP="007066BE">
      <w:pPr>
        <w:numPr>
          <w:ilvl w:val="0"/>
          <w:numId w:val="11"/>
        </w:numPr>
        <w:rPr>
          <w:lang w:val="it-IT"/>
        </w:rPr>
      </w:pPr>
      <w:r w:rsidRPr="007066BE">
        <w:rPr>
          <w:b/>
          <w:bCs/>
          <w:lang w:val="it-IT"/>
        </w:rPr>
        <w:lastRenderedPageBreak/>
        <w:t>Monitoraggio e Valutazione</w:t>
      </w:r>
      <w:r w:rsidRPr="007066BE">
        <w:rPr>
          <w:lang w:val="it-IT"/>
        </w:rPr>
        <w:t>: Stabilire meccanismi di monitoraggio e valutazione per garantire che l'insegnamento dell'IA sia equo e inclusivo.</w:t>
      </w:r>
    </w:p>
    <w:p w14:paraId="708B9D57" w14:textId="77777777" w:rsidR="007066BE" w:rsidRPr="007066BE" w:rsidRDefault="007066BE" w:rsidP="007066BE">
      <w:pPr>
        <w:numPr>
          <w:ilvl w:val="0"/>
          <w:numId w:val="11"/>
        </w:numPr>
        <w:rPr>
          <w:lang w:val="it-IT"/>
        </w:rPr>
      </w:pPr>
      <w:r w:rsidRPr="007066BE">
        <w:rPr>
          <w:b/>
          <w:bCs/>
          <w:lang w:val="it-IT"/>
        </w:rPr>
        <w:t>Collaborazione con Esperti di Etica</w:t>
      </w:r>
      <w:r w:rsidRPr="007066BE">
        <w:rPr>
          <w:lang w:val="it-IT"/>
        </w:rPr>
        <w:t>: Collaborare con esperti di etica per sviluppare e aggiornare il curriculum di IA.</w:t>
      </w:r>
    </w:p>
    <w:p w14:paraId="37200A31" w14:textId="77777777" w:rsidR="007066BE" w:rsidRPr="007066BE" w:rsidRDefault="007066BE" w:rsidP="007066BE">
      <w:pPr>
        <w:pStyle w:val="Heading2"/>
        <w:rPr>
          <w:lang w:val="it-IT"/>
        </w:rPr>
      </w:pPr>
      <w:bookmarkStart w:id="9" w:name="_Toc182757150"/>
      <w:r w:rsidRPr="007066BE">
        <w:rPr>
          <w:lang w:val="it-IT"/>
        </w:rPr>
        <w:t>4. Conclusione</w:t>
      </w:r>
      <w:bookmarkEnd w:id="9"/>
    </w:p>
    <w:p w14:paraId="6333CFBE" w14:textId="77777777" w:rsidR="007066BE" w:rsidRPr="007066BE" w:rsidRDefault="007066BE" w:rsidP="007066BE">
      <w:pPr>
        <w:rPr>
          <w:lang w:val="it-IT"/>
        </w:rPr>
      </w:pPr>
      <w:r w:rsidRPr="007066BE">
        <w:rPr>
          <w:lang w:val="it-IT"/>
        </w:rPr>
        <w:t>L'introduzione dell'IA nelle scuole offre opportunità significative per preparare gli studenti al futuro, ma deve essere accompagnata da una riflessione etica approfondita. Garantire un accesso equo, proteggere la privacy, affrontare i bias e promuovere la responsabilità e la trasparenza sono passi cruciali per un'educazione all'IA etica e inclusiva. Con un approccio attento e responsabile, possiamo massimizzare i benefici dell'IA per tutti gli studenti e la società nel suo complesso.</w:t>
      </w:r>
    </w:p>
    <w:p w14:paraId="55B592F9" w14:textId="77777777" w:rsidR="007066BE" w:rsidRPr="007066BE" w:rsidRDefault="007066BE" w:rsidP="007066BE">
      <w:pPr>
        <w:pStyle w:val="Heading1"/>
        <w:rPr>
          <w:lang w:val="it-IT"/>
        </w:rPr>
      </w:pPr>
      <w:bookmarkStart w:id="10" w:name="_Toc182757151"/>
      <w:r w:rsidRPr="007066BE">
        <w:rPr>
          <w:lang w:val="it-IT"/>
        </w:rPr>
        <w:t>Analisi degli Aspetti Economici dell'Introduzione dell'Intelligenza Artificiale nelle Scuole</w:t>
      </w:r>
      <w:bookmarkEnd w:id="10"/>
    </w:p>
    <w:p w14:paraId="31D44A53" w14:textId="77777777" w:rsidR="007066BE" w:rsidRPr="007066BE" w:rsidRDefault="007066BE" w:rsidP="007066BE">
      <w:pPr>
        <w:pStyle w:val="Heading2"/>
        <w:rPr>
          <w:lang w:val="it-IT"/>
        </w:rPr>
      </w:pPr>
      <w:bookmarkStart w:id="11" w:name="_Toc182757152"/>
      <w:r w:rsidRPr="007066BE">
        <w:rPr>
          <w:lang w:val="it-IT"/>
        </w:rPr>
        <w:t>1. Introduzione</w:t>
      </w:r>
      <w:bookmarkEnd w:id="11"/>
    </w:p>
    <w:p w14:paraId="38343343" w14:textId="77777777" w:rsidR="007066BE" w:rsidRPr="007066BE" w:rsidRDefault="007066BE" w:rsidP="007066BE">
      <w:pPr>
        <w:rPr>
          <w:lang w:val="it-IT"/>
        </w:rPr>
      </w:pPr>
      <w:r w:rsidRPr="007066BE">
        <w:rPr>
          <w:lang w:val="it-IT"/>
        </w:rPr>
        <w:t>L'introduzione dell'intelligenza artificiale (IA) nelle scuole non solo ha implicazioni educative ed etiche, ma anche significative conseguenze economiche. Questo rapporto esamina gli aspetti economici dell'insegnamento dell'IA nelle scuole, valutando i costi, i benefici e l'impatto a lungo termine sull'economia.</w:t>
      </w:r>
    </w:p>
    <w:p w14:paraId="459F5467" w14:textId="77777777" w:rsidR="007066BE" w:rsidRPr="007066BE" w:rsidRDefault="007066BE" w:rsidP="007066BE">
      <w:pPr>
        <w:pStyle w:val="Heading2"/>
      </w:pPr>
      <w:bookmarkStart w:id="12" w:name="_Toc182757153"/>
      <w:r w:rsidRPr="007066BE">
        <w:t>2. Costi di Implementazione</w:t>
      </w:r>
      <w:bookmarkEnd w:id="12"/>
    </w:p>
    <w:p w14:paraId="0C75BCB4" w14:textId="77777777" w:rsidR="007066BE" w:rsidRPr="007066BE" w:rsidRDefault="007066BE" w:rsidP="007066BE">
      <w:pPr>
        <w:pStyle w:val="Heading3"/>
      </w:pPr>
      <w:bookmarkStart w:id="13" w:name="_Toc182757154"/>
      <w:r w:rsidRPr="007066BE">
        <w:t>2.1 Infrastruttura Tecnologica</w:t>
      </w:r>
      <w:bookmarkEnd w:id="13"/>
    </w:p>
    <w:p w14:paraId="1BD4EB3B" w14:textId="77777777" w:rsidR="007066BE" w:rsidRPr="007066BE" w:rsidRDefault="007066BE" w:rsidP="007066BE">
      <w:pPr>
        <w:numPr>
          <w:ilvl w:val="0"/>
          <w:numId w:val="12"/>
        </w:numPr>
        <w:rPr>
          <w:lang w:val="it-IT"/>
        </w:rPr>
      </w:pPr>
      <w:r w:rsidRPr="007066BE">
        <w:rPr>
          <w:b/>
          <w:bCs/>
          <w:lang w:val="it-IT"/>
        </w:rPr>
        <w:t>Hardware e Software</w:t>
      </w:r>
      <w:r w:rsidRPr="007066BE">
        <w:rPr>
          <w:lang w:val="it-IT"/>
        </w:rPr>
        <w:t>: L'acquisto di computer, server, software di IA e altre attrezzature tecnologiche rappresenta un costo iniziale significativo. Le scuole dovranno investire in dispositivi moderni e aggiornati per supportare l'insegnamento dell'IA.</w:t>
      </w:r>
    </w:p>
    <w:p w14:paraId="525105DB" w14:textId="77777777" w:rsidR="007066BE" w:rsidRPr="007066BE" w:rsidRDefault="007066BE" w:rsidP="007066BE">
      <w:pPr>
        <w:numPr>
          <w:ilvl w:val="0"/>
          <w:numId w:val="12"/>
        </w:numPr>
        <w:rPr>
          <w:lang w:val="it-IT"/>
        </w:rPr>
      </w:pPr>
      <w:r w:rsidRPr="007066BE">
        <w:rPr>
          <w:b/>
          <w:bCs/>
          <w:lang w:val="it-IT"/>
        </w:rPr>
        <w:t>Manutenzione e Aggiornamenti</w:t>
      </w:r>
      <w:r w:rsidRPr="007066BE">
        <w:rPr>
          <w:lang w:val="it-IT"/>
        </w:rPr>
        <w:t>: Oltre ai costi iniziali, ci saranno spese ricorrenti per la manutenzione e l'aggiornamento delle attrezzature tecnologiche.</w:t>
      </w:r>
    </w:p>
    <w:p w14:paraId="095A9115" w14:textId="77777777" w:rsidR="007066BE" w:rsidRPr="007066BE" w:rsidRDefault="007066BE" w:rsidP="007066BE">
      <w:pPr>
        <w:pStyle w:val="Heading3"/>
      </w:pPr>
      <w:bookmarkStart w:id="14" w:name="_Toc182757155"/>
      <w:r w:rsidRPr="007066BE">
        <w:t>2.2 Formazione degli Insegnanti</w:t>
      </w:r>
      <w:bookmarkEnd w:id="14"/>
    </w:p>
    <w:p w14:paraId="727C8308" w14:textId="77777777" w:rsidR="007066BE" w:rsidRPr="007066BE" w:rsidRDefault="007066BE" w:rsidP="007066BE">
      <w:pPr>
        <w:numPr>
          <w:ilvl w:val="0"/>
          <w:numId w:val="13"/>
        </w:numPr>
        <w:rPr>
          <w:lang w:val="it-IT"/>
        </w:rPr>
      </w:pPr>
      <w:r w:rsidRPr="007066BE">
        <w:rPr>
          <w:b/>
          <w:bCs/>
          <w:lang w:val="it-IT"/>
        </w:rPr>
        <w:t>Programmi di Formazione</w:t>
      </w:r>
      <w:r w:rsidRPr="007066BE">
        <w:rPr>
          <w:lang w:val="it-IT"/>
        </w:rPr>
        <w:t>: Gli insegnanti necessitano di formazione specifica per insegnare l'IA. Questo comporta costi per lo sviluppo e l'implementazione di programmi di formazione, workshop e corsi di aggiornamento.</w:t>
      </w:r>
    </w:p>
    <w:p w14:paraId="2DBBB0C9" w14:textId="77777777" w:rsidR="007066BE" w:rsidRPr="007066BE" w:rsidRDefault="007066BE" w:rsidP="007066BE">
      <w:pPr>
        <w:numPr>
          <w:ilvl w:val="0"/>
          <w:numId w:val="13"/>
        </w:numPr>
        <w:rPr>
          <w:lang w:val="it-IT"/>
        </w:rPr>
      </w:pPr>
      <w:r w:rsidRPr="007066BE">
        <w:rPr>
          <w:b/>
          <w:bCs/>
          <w:lang w:val="it-IT"/>
        </w:rPr>
        <w:t>Tempo e Risorse</w:t>
      </w:r>
      <w:r w:rsidRPr="007066BE">
        <w:rPr>
          <w:lang w:val="it-IT"/>
        </w:rPr>
        <w:t>: La formazione degli insegnanti richiede tempo e risorse, che potrebbero distogliere l'attenzione da altre attività educative.</w:t>
      </w:r>
    </w:p>
    <w:p w14:paraId="1479D1A2" w14:textId="77777777" w:rsidR="007066BE" w:rsidRPr="007066BE" w:rsidRDefault="007066BE" w:rsidP="007066BE">
      <w:pPr>
        <w:pStyle w:val="Heading3"/>
      </w:pPr>
      <w:bookmarkStart w:id="15" w:name="_Toc182757156"/>
      <w:r w:rsidRPr="007066BE">
        <w:t>2.3 Sviluppo del Curriculum</w:t>
      </w:r>
      <w:bookmarkEnd w:id="15"/>
    </w:p>
    <w:p w14:paraId="206BF9B0" w14:textId="77777777" w:rsidR="007066BE" w:rsidRPr="007066BE" w:rsidRDefault="007066BE" w:rsidP="007066BE">
      <w:pPr>
        <w:numPr>
          <w:ilvl w:val="0"/>
          <w:numId w:val="14"/>
        </w:numPr>
        <w:rPr>
          <w:lang w:val="it-IT"/>
        </w:rPr>
      </w:pPr>
      <w:r w:rsidRPr="007066BE">
        <w:rPr>
          <w:b/>
          <w:bCs/>
          <w:lang w:val="it-IT"/>
        </w:rPr>
        <w:t>Collaborazione con Esperti</w:t>
      </w:r>
      <w:r w:rsidRPr="007066BE">
        <w:rPr>
          <w:lang w:val="it-IT"/>
        </w:rPr>
        <w:t>: Lo sviluppo di un curriculum di IA richiede la collaborazione con esperti del settore, università e aziende tecnologiche, il che comporta costi per consulenze e partnership.</w:t>
      </w:r>
    </w:p>
    <w:p w14:paraId="69569380" w14:textId="77777777" w:rsidR="007066BE" w:rsidRPr="007066BE" w:rsidRDefault="007066BE" w:rsidP="007066BE">
      <w:pPr>
        <w:numPr>
          <w:ilvl w:val="0"/>
          <w:numId w:val="14"/>
        </w:numPr>
        <w:rPr>
          <w:lang w:val="it-IT"/>
        </w:rPr>
      </w:pPr>
      <w:r w:rsidRPr="007066BE">
        <w:rPr>
          <w:b/>
          <w:bCs/>
          <w:lang w:val="it-IT"/>
        </w:rPr>
        <w:t>Materiali Didattici</w:t>
      </w:r>
      <w:r w:rsidRPr="007066BE">
        <w:rPr>
          <w:lang w:val="it-IT"/>
        </w:rPr>
        <w:t>: La creazione e la distribuzione di materiali didattici, come libri di testo, software educativi e piattaforme online, rappresentano un ulteriore costo.</w:t>
      </w:r>
    </w:p>
    <w:p w14:paraId="3965890A" w14:textId="77777777" w:rsidR="007066BE" w:rsidRPr="007066BE" w:rsidRDefault="007066BE" w:rsidP="007066BE">
      <w:pPr>
        <w:pStyle w:val="Heading2"/>
        <w:rPr>
          <w:lang w:val="it-IT"/>
        </w:rPr>
      </w:pPr>
      <w:bookmarkStart w:id="16" w:name="_Toc182757157"/>
      <w:r w:rsidRPr="007066BE">
        <w:rPr>
          <w:lang w:val="it-IT"/>
        </w:rPr>
        <w:t>3. Benefici Economici</w:t>
      </w:r>
      <w:bookmarkEnd w:id="16"/>
    </w:p>
    <w:p w14:paraId="074721EC" w14:textId="77777777" w:rsidR="007066BE" w:rsidRPr="007066BE" w:rsidRDefault="007066BE" w:rsidP="007066BE">
      <w:pPr>
        <w:pStyle w:val="Heading3"/>
        <w:rPr>
          <w:lang w:val="it-IT"/>
        </w:rPr>
      </w:pPr>
      <w:bookmarkStart w:id="17" w:name="_Toc182757158"/>
      <w:r w:rsidRPr="007066BE">
        <w:rPr>
          <w:lang w:val="it-IT"/>
        </w:rPr>
        <w:t>3.1 Preparazione della Forza Lavoro</w:t>
      </w:r>
      <w:bookmarkEnd w:id="17"/>
    </w:p>
    <w:p w14:paraId="4EED13AE" w14:textId="77777777" w:rsidR="007066BE" w:rsidRPr="007066BE" w:rsidRDefault="007066BE" w:rsidP="007066BE">
      <w:pPr>
        <w:numPr>
          <w:ilvl w:val="0"/>
          <w:numId w:val="15"/>
        </w:numPr>
        <w:rPr>
          <w:lang w:val="it-IT"/>
        </w:rPr>
      </w:pPr>
      <w:r w:rsidRPr="007066BE">
        <w:rPr>
          <w:b/>
          <w:bCs/>
          <w:lang w:val="it-IT"/>
        </w:rPr>
        <w:t>Competenze Tecniche Avanzate</w:t>
      </w:r>
      <w:r w:rsidRPr="007066BE">
        <w:rPr>
          <w:lang w:val="it-IT"/>
        </w:rPr>
        <w:t>: Gli studenti che acquisiscono competenze in IA saranno meglio preparati per le future opportunità di lavoro in settori ad alta tecnologia, contribuendo a una forza lavoro più qualificata e competitiva.</w:t>
      </w:r>
    </w:p>
    <w:p w14:paraId="7818D5D8" w14:textId="77777777" w:rsidR="007066BE" w:rsidRPr="007066BE" w:rsidRDefault="007066BE" w:rsidP="007066BE">
      <w:pPr>
        <w:numPr>
          <w:ilvl w:val="0"/>
          <w:numId w:val="15"/>
        </w:numPr>
        <w:rPr>
          <w:lang w:val="it-IT"/>
        </w:rPr>
      </w:pPr>
      <w:r w:rsidRPr="007066BE">
        <w:rPr>
          <w:b/>
          <w:bCs/>
          <w:lang w:val="it-IT"/>
        </w:rPr>
        <w:t>Innovazione e Imprenditorialità</w:t>
      </w:r>
      <w:r w:rsidRPr="007066BE">
        <w:rPr>
          <w:lang w:val="it-IT"/>
        </w:rPr>
        <w:t>: L'educazione all'IA può stimolare l'innovazione e l'imprenditorialità, portando alla creazione di nuove aziende e posti di lavoro.</w:t>
      </w:r>
    </w:p>
    <w:p w14:paraId="6BD0C54A" w14:textId="77777777" w:rsidR="007066BE" w:rsidRPr="007066BE" w:rsidRDefault="007066BE" w:rsidP="007066BE">
      <w:pPr>
        <w:pStyle w:val="Heading3"/>
      </w:pPr>
      <w:bookmarkStart w:id="18" w:name="_Toc182757159"/>
      <w:r w:rsidRPr="007066BE">
        <w:lastRenderedPageBreak/>
        <w:t>3.2 Aumento della Produttività</w:t>
      </w:r>
      <w:bookmarkEnd w:id="18"/>
    </w:p>
    <w:p w14:paraId="432D919B" w14:textId="77777777" w:rsidR="007066BE" w:rsidRPr="007066BE" w:rsidRDefault="007066BE" w:rsidP="007066BE">
      <w:pPr>
        <w:numPr>
          <w:ilvl w:val="0"/>
          <w:numId w:val="16"/>
        </w:numPr>
        <w:rPr>
          <w:lang w:val="it-IT"/>
        </w:rPr>
      </w:pPr>
      <w:r w:rsidRPr="007066BE">
        <w:rPr>
          <w:b/>
          <w:bCs/>
          <w:lang w:val="it-IT"/>
        </w:rPr>
        <w:t>Efficienza Operativa</w:t>
      </w:r>
      <w:r w:rsidRPr="007066BE">
        <w:rPr>
          <w:lang w:val="it-IT"/>
        </w:rPr>
        <w:t>: L'adozione di tecnologie di IA può migliorare l'efficienza operativa nelle scuole, riducendo i costi amministrativi e migliorando la gestione delle risorse.</w:t>
      </w:r>
    </w:p>
    <w:p w14:paraId="4637CC89" w14:textId="77777777" w:rsidR="007066BE" w:rsidRPr="007066BE" w:rsidRDefault="007066BE" w:rsidP="007066BE">
      <w:pPr>
        <w:numPr>
          <w:ilvl w:val="0"/>
          <w:numId w:val="16"/>
        </w:numPr>
        <w:rPr>
          <w:lang w:val="it-IT"/>
        </w:rPr>
      </w:pPr>
      <w:r w:rsidRPr="007066BE">
        <w:rPr>
          <w:b/>
          <w:bCs/>
          <w:lang w:val="it-IT"/>
        </w:rPr>
        <w:t>Miglioramento dei Risultati Educativi</w:t>
      </w:r>
      <w:r w:rsidRPr="007066BE">
        <w:rPr>
          <w:lang w:val="it-IT"/>
        </w:rPr>
        <w:t>: L'uso di strumenti di IA può personalizzare l'apprendimento, migliorando i risultati educativi e riducendo i tassi di abbandono scolastico, con benefici economici a lungo termine.</w:t>
      </w:r>
    </w:p>
    <w:p w14:paraId="65AE8CD1" w14:textId="77777777" w:rsidR="007066BE" w:rsidRPr="007066BE" w:rsidRDefault="007066BE" w:rsidP="007066BE">
      <w:pPr>
        <w:pStyle w:val="Heading3"/>
      </w:pPr>
      <w:bookmarkStart w:id="19" w:name="_Toc182757160"/>
      <w:r w:rsidRPr="007066BE">
        <w:t>3.3 Riduzione delle Disuguaglianze</w:t>
      </w:r>
      <w:bookmarkEnd w:id="19"/>
    </w:p>
    <w:p w14:paraId="745D2116" w14:textId="77777777" w:rsidR="007066BE" w:rsidRPr="007066BE" w:rsidRDefault="007066BE" w:rsidP="007066BE">
      <w:pPr>
        <w:numPr>
          <w:ilvl w:val="0"/>
          <w:numId w:val="17"/>
        </w:numPr>
        <w:rPr>
          <w:lang w:val="it-IT"/>
        </w:rPr>
      </w:pPr>
      <w:r w:rsidRPr="007066BE">
        <w:rPr>
          <w:b/>
          <w:bCs/>
          <w:lang w:val="it-IT"/>
        </w:rPr>
        <w:t>Accesso Equo all'Educazione</w:t>
      </w:r>
      <w:r w:rsidRPr="007066BE">
        <w:rPr>
          <w:lang w:val="it-IT"/>
        </w:rPr>
        <w:t>: Investire in tecnologie di IA nelle scuole può contribuire a ridurre le disuguaglianze educative, offrendo a tutti gli studenti, indipendentemente dal loro background socio-economico, l'opportunità di acquisire competenze preziose.</w:t>
      </w:r>
    </w:p>
    <w:p w14:paraId="33CB502A" w14:textId="77777777" w:rsidR="007066BE" w:rsidRPr="007066BE" w:rsidRDefault="007066BE" w:rsidP="007066BE">
      <w:pPr>
        <w:pStyle w:val="Heading2"/>
        <w:rPr>
          <w:lang w:val="it-IT"/>
        </w:rPr>
      </w:pPr>
      <w:bookmarkStart w:id="20" w:name="_Toc182757161"/>
      <w:r w:rsidRPr="007066BE">
        <w:rPr>
          <w:lang w:val="it-IT"/>
        </w:rPr>
        <w:t>4. Impatto a Lungo Termine sull'Economia</w:t>
      </w:r>
      <w:bookmarkEnd w:id="20"/>
    </w:p>
    <w:p w14:paraId="19CF28D0" w14:textId="77777777" w:rsidR="007066BE" w:rsidRPr="007066BE" w:rsidRDefault="007066BE" w:rsidP="007066BE">
      <w:pPr>
        <w:pStyle w:val="Heading3"/>
        <w:rPr>
          <w:lang w:val="it-IT"/>
        </w:rPr>
      </w:pPr>
      <w:bookmarkStart w:id="21" w:name="_Toc182757162"/>
      <w:r w:rsidRPr="007066BE">
        <w:rPr>
          <w:lang w:val="it-IT"/>
        </w:rPr>
        <w:t>4.1 Crescita Economica</w:t>
      </w:r>
      <w:bookmarkEnd w:id="21"/>
    </w:p>
    <w:p w14:paraId="3B5D66F7" w14:textId="77777777" w:rsidR="007066BE" w:rsidRPr="007066BE" w:rsidRDefault="007066BE" w:rsidP="007066BE">
      <w:pPr>
        <w:numPr>
          <w:ilvl w:val="0"/>
          <w:numId w:val="18"/>
        </w:numPr>
        <w:rPr>
          <w:lang w:val="it-IT"/>
        </w:rPr>
      </w:pPr>
      <w:r w:rsidRPr="007066BE">
        <w:rPr>
          <w:b/>
          <w:bCs/>
          <w:lang w:val="it-IT"/>
        </w:rPr>
        <w:t>Settori Emergenti</w:t>
      </w:r>
      <w:r w:rsidRPr="007066BE">
        <w:rPr>
          <w:lang w:val="it-IT"/>
        </w:rPr>
        <w:t>: L'educazione all'IA può alimentare la crescita di settori emergenti come la robotica, l'automazione e l'analisi dei dati, contribuendo alla diversificazione e alla crescita dell'economia.</w:t>
      </w:r>
    </w:p>
    <w:p w14:paraId="0943DC70" w14:textId="77777777" w:rsidR="007066BE" w:rsidRPr="007066BE" w:rsidRDefault="007066BE" w:rsidP="007066BE">
      <w:pPr>
        <w:numPr>
          <w:ilvl w:val="0"/>
          <w:numId w:val="18"/>
        </w:numPr>
        <w:rPr>
          <w:lang w:val="it-IT"/>
        </w:rPr>
      </w:pPr>
      <w:r w:rsidRPr="007066BE">
        <w:rPr>
          <w:b/>
          <w:bCs/>
          <w:lang w:val="it-IT"/>
        </w:rPr>
        <w:t>Competitività Globale</w:t>
      </w:r>
      <w:r w:rsidRPr="007066BE">
        <w:rPr>
          <w:lang w:val="it-IT"/>
        </w:rPr>
        <w:t>: Un sistema educativo che integra l'IA può migliorare la competitività globale di un paese, attirando investimenti stranieri e talenti internazionali.</w:t>
      </w:r>
    </w:p>
    <w:p w14:paraId="0B6C6BD7" w14:textId="77777777" w:rsidR="007066BE" w:rsidRPr="007066BE" w:rsidRDefault="007066BE" w:rsidP="007066BE">
      <w:pPr>
        <w:pStyle w:val="Heading3"/>
      </w:pPr>
      <w:bookmarkStart w:id="22" w:name="_Toc182757163"/>
      <w:r w:rsidRPr="007066BE">
        <w:t>4.2 Sostenibilità Economica</w:t>
      </w:r>
      <w:bookmarkEnd w:id="22"/>
    </w:p>
    <w:p w14:paraId="5971BE97" w14:textId="77777777" w:rsidR="007066BE" w:rsidRPr="007066BE" w:rsidRDefault="007066BE" w:rsidP="007066BE">
      <w:pPr>
        <w:numPr>
          <w:ilvl w:val="0"/>
          <w:numId w:val="19"/>
        </w:numPr>
        <w:rPr>
          <w:lang w:val="it-IT"/>
        </w:rPr>
      </w:pPr>
      <w:r w:rsidRPr="007066BE">
        <w:rPr>
          <w:b/>
          <w:bCs/>
          <w:lang w:val="it-IT"/>
        </w:rPr>
        <w:t>Adattamento al Cambiamento</w:t>
      </w:r>
      <w:r w:rsidRPr="007066BE">
        <w:rPr>
          <w:lang w:val="it-IT"/>
        </w:rPr>
        <w:t>: Preparare gli studenti alle tecnologie future aiuta a creare una forza lavoro resiliente e adattabile, capace di affrontare le sfide economiche e tecnologiche del futuro.</w:t>
      </w:r>
    </w:p>
    <w:p w14:paraId="7BA99C7D" w14:textId="77777777" w:rsidR="007066BE" w:rsidRPr="007066BE" w:rsidRDefault="007066BE" w:rsidP="007066BE">
      <w:pPr>
        <w:numPr>
          <w:ilvl w:val="0"/>
          <w:numId w:val="19"/>
        </w:numPr>
        <w:rPr>
          <w:lang w:val="it-IT"/>
        </w:rPr>
      </w:pPr>
      <w:r w:rsidRPr="007066BE">
        <w:rPr>
          <w:b/>
          <w:bCs/>
          <w:lang w:val="it-IT"/>
        </w:rPr>
        <w:t>Riduzione della Disoccupazione</w:t>
      </w:r>
      <w:r w:rsidRPr="007066BE">
        <w:rPr>
          <w:lang w:val="it-IT"/>
        </w:rPr>
        <w:t>: L'educazione all'IA può contribuire a ridurre la disoccupazione tecnologica, preparando i lavoratori per le professioni del futuro e mitigando gli effetti negativi dell'automazione.</w:t>
      </w:r>
    </w:p>
    <w:p w14:paraId="34E56E5B" w14:textId="77777777" w:rsidR="007066BE" w:rsidRPr="007066BE" w:rsidRDefault="007066BE" w:rsidP="007066BE">
      <w:pPr>
        <w:pStyle w:val="Heading2"/>
        <w:rPr>
          <w:lang w:val="it-IT"/>
        </w:rPr>
      </w:pPr>
      <w:bookmarkStart w:id="23" w:name="_Toc182757164"/>
      <w:r w:rsidRPr="007066BE">
        <w:rPr>
          <w:lang w:val="it-IT"/>
        </w:rPr>
        <w:t>5. Conclusione</w:t>
      </w:r>
      <w:bookmarkEnd w:id="23"/>
    </w:p>
    <w:p w14:paraId="60C77824" w14:textId="77777777" w:rsidR="007066BE" w:rsidRPr="007066BE" w:rsidRDefault="007066BE" w:rsidP="007066BE">
      <w:pPr>
        <w:rPr>
          <w:lang w:val="it-IT"/>
        </w:rPr>
      </w:pPr>
      <w:r w:rsidRPr="007066BE">
        <w:rPr>
          <w:lang w:val="it-IT"/>
        </w:rPr>
        <w:t>L'introduzione dell'intelligenza artificiale nelle scuole comporta costi significativi, ma i benefici economici a lungo termine superano ampiamente questi investimenti iniziali. Preparare gli studenti alle tecnologie future non solo migliora la loro occupabilità, ma stimola anche l'innovazione, la produttività e la crescita economica. Con una pianificazione attenta e investimenti strategici, l'educazione all'IA può diventare un motore di sviluppo economico sostenibile e inclusivo.</w:t>
      </w:r>
    </w:p>
    <w:p w14:paraId="5F58EA2C" w14:textId="77777777" w:rsidR="007066BE" w:rsidRPr="007066BE" w:rsidRDefault="007066BE" w:rsidP="007066BE">
      <w:pPr>
        <w:pStyle w:val="Heading2"/>
      </w:pPr>
      <w:bookmarkStart w:id="24" w:name="_Toc182757165"/>
      <w:r w:rsidRPr="007066BE">
        <w:t>6. Raccomandazioni</w:t>
      </w:r>
      <w:bookmarkEnd w:id="24"/>
    </w:p>
    <w:p w14:paraId="711C85CE" w14:textId="77777777" w:rsidR="007066BE" w:rsidRPr="007066BE" w:rsidRDefault="007066BE" w:rsidP="007066BE">
      <w:pPr>
        <w:numPr>
          <w:ilvl w:val="0"/>
          <w:numId w:val="20"/>
        </w:numPr>
        <w:rPr>
          <w:lang w:val="it-IT"/>
        </w:rPr>
      </w:pPr>
      <w:r w:rsidRPr="007066BE">
        <w:rPr>
          <w:b/>
          <w:bCs/>
          <w:lang w:val="it-IT"/>
        </w:rPr>
        <w:t>Investimenti Mirati</w:t>
      </w:r>
      <w:r w:rsidRPr="007066BE">
        <w:rPr>
          <w:lang w:val="it-IT"/>
        </w:rPr>
        <w:t>: Allocare risorse adeguate per l'infrastruttura tecnologica, la formazione degli insegnanti e lo sviluppo del curriculum.</w:t>
      </w:r>
    </w:p>
    <w:p w14:paraId="6E461849" w14:textId="77777777" w:rsidR="007066BE" w:rsidRPr="007066BE" w:rsidRDefault="007066BE" w:rsidP="007066BE">
      <w:pPr>
        <w:numPr>
          <w:ilvl w:val="0"/>
          <w:numId w:val="20"/>
        </w:numPr>
        <w:rPr>
          <w:lang w:val="it-IT"/>
        </w:rPr>
      </w:pPr>
      <w:r w:rsidRPr="007066BE">
        <w:rPr>
          <w:b/>
          <w:bCs/>
          <w:lang w:val="it-IT"/>
        </w:rPr>
        <w:t>Partnership Pubblico-Private</w:t>
      </w:r>
      <w:r w:rsidRPr="007066BE">
        <w:rPr>
          <w:lang w:val="it-IT"/>
        </w:rPr>
        <w:t>: Collaborare con aziende tecnologiche e università per condividere risorse e competenze.</w:t>
      </w:r>
    </w:p>
    <w:p w14:paraId="121E8A74" w14:textId="77777777" w:rsidR="007066BE" w:rsidRPr="007066BE" w:rsidRDefault="007066BE" w:rsidP="007066BE">
      <w:pPr>
        <w:numPr>
          <w:ilvl w:val="0"/>
          <w:numId w:val="20"/>
        </w:numPr>
        <w:rPr>
          <w:lang w:val="it-IT"/>
        </w:rPr>
      </w:pPr>
      <w:r w:rsidRPr="007066BE">
        <w:rPr>
          <w:b/>
          <w:bCs/>
          <w:lang w:val="it-IT"/>
        </w:rPr>
        <w:t>Monitoraggio e Valutazione</w:t>
      </w:r>
      <w:r w:rsidRPr="007066BE">
        <w:rPr>
          <w:lang w:val="it-IT"/>
        </w:rPr>
        <w:t>: Implementare meccanismi di monitoraggio per valutare l'efficacia dell'educazione all'IA e apportare miglioramenti continui.</w:t>
      </w:r>
    </w:p>
    <w:p w14:paraId="38B24734" w14:textId="77777777" w:rsidR="007066BE" w:rsidRPr="007066BE" w:rsidRDefault="007066BE" w:rsidP="007066BE">
      <w:pPr>
        <w:numPr>
          <w:ilvl w:val="0"/>
          <w:numId w:val="20"/>
        </w:numPr>
        <w:rPr>
          <w:lang w:val="it-IT"/>
        </w:rPr>
      </w:pPr>
      <w:r w:rsidRPr="007066BE">
        <w:rPr>
          <w:b/>
          <w:bCs/>
          <w:lang w:val="it-IT"/>
        </w:rPr>
        <w:t>Politiche di Inclusività</w:t>
      </w:r>
      <w:r w:rsidRPr="007066BE">
        <w:rPr>
          <w:lang w:val="it-IT"/>
        </w:rPr>
        <w:t>: Garantire che tutte le scuole, indipendentemente dalla loro posizione o risorse, abbiano accesso alle tecnologie necessarie per insegnare l'IA.</w:t>
      </w:r>
    </w:p>
    <w:p w14:paraId="2A625F2C" w14:textId="77777777" w:rsidR="007066BE" w:rsidRPr="007066BE" w:rsidRDefault="007066BE" w:rsidP="007066BE">
      <w:pPr>
        <w:rPr>
          <w:lang w:val="it-IT"/>
        </w:rPr>
      </w:pPr>
      <w:r w:rsidRPr="007066BE">
        <w:rPr>
          <w:lang w:val="it-IT"/>
        </w:rPr>
        <w:t>L'educazione all'IA rappresenta un investimento strategico per il futuro economico e sociale, capace di trasformare le sfide tecnologiche in opportunità di crescita e sviluppo.</w:t>
      </w:r>
    </w:p>
    <w:p w14:paraId="1AE9E730" w14:textId="77777777" w:rsidR="007066BE" w:rsidRPr="007066BE" w:rsidRDefault="007066BE" w:rsidP="007066BE">
      <w:pPr>
        <w:pStyle w:val="Heading1"/>
        <w:rPr>
          <w:lang w:val="it-IT"/>
        </w:rPr>
      </w:pPr>
      <w:bookmarkStart w:id="25" w:name="_Toc182757166"/>
      <w:r w:rsidRPr="007066BE">
        <w:rPr>
          <w:lang w:val="it-IT"/>
        </w:rPr>
        <w:lastRenderedPageBreak/>
        <w:t>Sviluppo di Policy per la Gestione Operativa dell'Introduzione dell'Intelligenza Artificiale nelle Scuole</w:t>
      </w:r>
      <w:bookmarkEnd w:id="25"/>
    </w:p>
    <w:p w14:paraId="1A56EBDD" w14:textId="77777777" w:rsidR="007066BE" w:rsidRPr="007066BE" w:rsidRDefault="007066BE" w:rsidP="007066BE">
      <w:pPr>
        <w:pStyle w:val="Heading2"/>
        <w:rPr>
          <w:lang w:val="it-IT"/>
        </w:rPr>
      </w:pPr>
      <w:bookmarkStart w:id="26" w:name="_Toc182757167"/>
      <w:r w:rsidRPr="007066BE">
        <w:rPr>
          <w:lang w:val="it-IT"/>
        </w:rPr>
        <w:t>1. Introduzione</w:t>
      </w:r>
      <w:bookmarkEnd w:id="26"/>
    </w:p>
    <w:p w14:paraId="13A34572" w14:textId="77777777" w:rsidR="007066BE" w:rsidRPr="007066BE" w:rsidRDefault="007066BE" w:rsidP="007066BE">
      <w:pPr>
        <w:rPr>
          <w:lang w:val="it-IT"/>
        </w:rPr>
      </w:pPr>
      <w:r w:rsidRPr="007066BE">
        <w:rPr>
          <w:lang w:val="it-IT"/>
        </w:rPr>
        <w:t>L'introduzione dell'intelligenza artificiale (IA) nelle scuole rappresenta una sfida complessa che richiede una gestione operativa efficace. Questo documento propone una serie di policy per garantire un'implementazione strutturata e sostenibile dell'IA nel sistema educativo, tenendo conto delle implicazioni economiche, etiche e pratiche.</w:t>
      </w:r>
    </w:p>
    <w:p w14:paraId="79ABD6D1" w14:textId="77777777" w:rsidR="007066BE" w:rsidRPr="007066BE" w:rsidRDefault="007066BE" w:rsidP="007066BE">
      <w:pPr>
        <w:pStyle w:val="Heading2"/>
        <w:rPr>
          <w:lang w:val="it-IT"/>
        </w:rPr>
      </w:pPr>
      <w:bookmarkStart w:id="27" w:name="_Toc182757168"/>
      <w:r w:rsidRPr="007066BE">
        <w:rPr>
          <w:lang w:val="it-IT"/>
        </w:rPr>
        <w:t>2. Policy per l'Infrastruttura Tecnologica</w:t>
      </w:r>
      <w:bookmarkEnd w:id="27"/>
    </w:p>
    <w:p w14:paraId="505CF6CD" w14:textId="77777777" w:rsidR="007066BE" w:rsidRPr="007066BE" w:rsidRDefault="007066BE" w:rsidP="007066BE">
      <w:pPr>
        <w:pStyle w:val="Heading3"/>
        <w:rPr>
          <w:lang w:val="it-IT"/>
        </w:rPr>
      </w:pPr>
      <w:bookmarkStart w:id="28" w:name="_Toc182757169"/>
      <w:r w:rsidRPr="007066BE">
        <w:rPr>
          <w:lang w:val="it-IT"/>
        </w:rPr>
        <w:t>2.1 Investimenti in Hardware e Software</w:t>
      </w:r>
      <w:bookmarkEnd w:id="28"/>
    </w:p>
    <w:p w14:paraId="1974FF73" w14:textId="77777777" w:rsidR="007066BE" w:rsidRPr="007066BE" w:rsidRDefault="007066BE" w:rsidP="007066BE">
      <w:pPr>
        <w:numPr>
          <w:ilvl w:val="0"/>
          <w:numId w:val="21"/>
        </w:numPr>
        <w:rPr>
          <w:lang w:val="it-IT"/>
        </w:rPr>
      </w:pPr>
      <w:r w:rsidRPr="007066BE">
        <w:rPr>
          <w:b/>
          <w:bCs/>
          <w:lang w:val="it-IT"/>
        </w:rPr>
        <w:t>Standard Minimi</w:t>
      </w:r>
      <w:r w:rsidRPr="007066BE">
        <w:rPr>
          <w:lang w:val="it-IT"/>
        </w:rPr>
        <w:t>: Stabilire standard minimi per l'hardware e il software necessari per l'insegnamento dell'IA, garantendo che tutte le scuole dispongano delle attrezzature adeguate.</w:t>
      </w:r>
    </w:p>
    <w:p w14:paraId="3878A49C" w14:textId="77777777" w:rsidR="007066BE" w:rsidRPr="007066BE" w:rsidRDefault="007066BE" w:rsidP="007066BE">
      <w:pPr>
        <w:numPr>
          <w:ilvl w:val="0"/>
          <w:numId w:val="21"/>
        </w:numPr>
        <w:rPr>
          <w:lang w:val="it-IT"/>
        </w:rPr>
      </w:pPr>
      <w:r w:rsidRPr="007066BE">
        <w:rPr>
          <w:b/>
          <w:bCs/>
          <w:lang w:val="it-IT"/>
        </w:rPr>
        <w:t>Piani di Aggiornamento</w:t>
      </w:r>
      <w:r w:rsidRPr="007066BE">
        <w:rPr>
          <w:lang w:val="it-IT"/>
        </w:rPr>
        <w:t>: Implementare piani di aggiornamento periodici per mantenere le attrezzature tecnologiche al passo con i progressi dell'IA.</w:t>
      </w:r>
    </w:p>
    <w:p w14:paraId="074FD99B" w14:textId="77777777" w:rsidR="007066BE" w:rsidRPr="007066BE" w:rsidRDefault="007066BE" w:rsidP="007066BE">
      <w:pPr>
        <w:pStyle w:val="Heading3"/>
      </w:pPr>
      <w:bookmarkStart w:id="29" w:name="_Toc182757170"/>
      <w:r w:rsidRPr="007066BE">
        <w:t>2.2 Manutenzione e Supporto Tecnico</w:t>
      </w:r>
      <w:bookmarkEnd w:id="29"/>
    </w:p>
    <w:p w14:paraId="1D5BB620" w14:textId="77777777" w:rsidR="007066BE" w:rsidRPr="007066BE" w:rsidRDefault="007066BE" w:rsidP="007066BE">
      <w:pPr>
        <w:numPr>
          <w:ilvl w:val="0"/>
          <w:numId w:val="22"/>
        </w:numPr>
        <w:rPr>
          <w:lang w:val="it-IT"/>
        </w:rPr>
      </w:pPr>
      <w:r w:rsidRPr="007066BE">
        <w:rPr>
          <w:b/>
          <w:bCs/>
          <w:lang w:val="it-IT"/>
        </w:rPr>
        <w:t>Servizi di Manutenzione</w:t>
      </w:r>
      <w:r w:rsidRPr="007066BE">
        <w:rPr>
          <w:lang w:val="it-IT"/>
        </w:rPr>
        <w:t>: Creare contratti di manutenzione con fornitori di tecnologia per garantire un supporto tecnico continuo e tempestivo.</w:t>
      </w:r>
    </w:p>
    <w:p w14:paraId="6266A08C" w14:textId="77777777" w:rsidR="007066BE" w:rsidRPr="007066BE" w:rsidRDefault="007066BE" w:rsidP="007066BE">
      <w:pPr>
        <w:numPr>
          <w:ilvl w:val="0"/>
          <w:numId w:val="22"/>
        </w:numPr>
        <w:rPr>
          <w:lang w:val="it-IT"/>
        </w:rPr>
      </w:pPr>
      <w:r w:rsidRPr="007066BE">
        <w:rPr>
          <w:b/>
          <w:bCs/>
          <w:lang w:val="it-IT"/>
        </w:rPr>
        <w:t>Formazione del Personale Tecnico</w:t>
      </w:r>
      <w:r w:rsidRPr="007066BE">
        <w:rPr>
          <w:lang w:val="it-IT"/>
        </w:rPr>
        <w:t>: Formare il personale tecnico delle scuole per gestire e risolvere problemi tecnici legati all'IA.</w:t>
      </w:r>
    </w:p>
    <w:p w14:paraId="1629FA2C" w14:textId="77777777" w:rsidR="007066BE" w:rsidRPr="007066BE" w:rsidRDefault="007066BE" w:rsidP="007066BE">
      <w:pPr>
        <w:pStyle w:val="Heading2"/>
        <w:rPr>
          <w:lang w:val="it-IT"/>
        </w:rPr>
      </w:pPr>
      <w:bookmarkStart w:id="30" w:name="_Toc182757171"/>
      <w:r w:rsidRPr="007066BE">
        <w:rPr>
          <w:lang w:val="it-IT"/>
        </w:rPr>
        <w:t>3. Policy per la Formazione degli Insegnanti</w:t>
      </w:r>
      <w:bookmarkEnd w:id="30"/>
    </w:p>
    <w:p w14:paraId="636F1F42" w14:textId="77777777" w:rsidR="007066BE" w:rsidRPr="007066BE" w:rsidRDefault="007066BE" w:rsidP="007066BE">
      <w:pPr>
        <w:pStyle w:val="Heading3"/>
      </w:pPr>
      <w:bookmarkStart w:id="31" w:name="_Toc182757172"/>
      <w:r w:rsidRPr="007066BE">
        <w:t>3.1 Programmi di Formazione Continua</w:t>
      </w:r>
      <w:bookmarkEnd w:id="31"/>
    </w:p>
    <w:p w14:paraId="390F0670" w14:textId="77777777" w:rsidR="007066BE" w:rsidRPr="007066BE" w:rsidRDefault="007066BE" w:rsidP="007066BE">
      <w:pPr>
        <w:numPr>
          <w:ilvl w:val="0"/>
          <w:numId w:val="23"/>
        </w:numPr>
        <w:rPr>
          <w:lang w:val="it-IT"/>
        </w:rPr>
      </w:pPr>
      <w:r w:rsidRPr="007066BE">
        <w:rPr>
          <w:b/>
          <w:bCs/>
          <w:lang w:val="it-IT"/>
        </w:rPr>
        <w:t>Corsi di Aggiornamento</w:t>
      </w:r>
      <w:r w:rsidRPr="007066BE">
        <w:rPr>
          <w:lang w:val="it-IT"/>
        </w:rPr>
        <w:t>: Offrire corsi di aggiornamento periodici per gli insegnanti, focalizzati sulle ultime tecnologie e metodologie di insegnamento dell'IA.</w:t>
      </w:r>
    </w:p>
    <w:p w14:paraId="1076B9E7" w14:textId="77777777" w:rsidR="007066BE" w:rsidRPr="007066BE" w:rsidRDefault="007066BE" w:rsidP="007066BE">
      <w:pPr>
        <w:numPr>
          <w:ilvl w:val="0"/>
          <w:numId w:val="23"/>
        </w:numPr>
        <w:rPr>
          <w:lang w:val="it-IT"/>
        </w:rPr>
      </w:pPr>
      <w:r w:rsidRPr="007066BE">
        <w:rPr>
          <w:b/>
          <w:bCs/>
          <w:lang w:val="it-IT"/>
        </w:rPr>
        <w:t>Certificazioni</w:t>
      </w:r>
      <w:r w:rsidRPr="007066BE">
        <w:rPr>
          <w:lang w:val="it-IT"/>
        </w:rPr>
        <w:t>: Introdurre certificazioni per gli insegnanti che completano con successo i programmi di formazione sull'IA.</w:t>
      </w:r>
    </w:p>
    <w:p w14:paraId="35C683C6" w14:textId="77777777" w:rsidR="007066BE" w:rsidRPr="007066BE" w:rsidRDefault="007066BE" w:rsidP="007066BE">
      <w:pPr>
        <w:pStyle w:val="Heading3"/>
      </w:pPr>
      <w:bookmarkStart w:id="32" w:name="_Toc182757173"/>
      <w:r w:rsidRPr="007066BE">
        <w:t>3.2 Supporto e Risorse</w:t>
      </w:r>
      <w:bookmarkEnd w:id="32"/>
    </w:p>
    <w:p w14:paraId="1BBA06E4" w14:textId="77777777" w:rsidR="007066BE" w:rsidRPr="007066BE" w:rsidRDefault="007066BE" w:rsidP="007066BE">
      <w:pPr>
        <w:numPr>
          <w:ilvl w:val="0"/>
          <w:numId w:val="24"/>
        </w:numPr>
        <w:rPr>
          <w:lang w:val="it-IT"/>
        </w:rPr>
      </w:pPr>
      <w:r w:rsidRPr="007066BE">
        <w:rPr>
          <w:b/>
          <w:bCs/>
          <w:lang w:val="it-IT"/>
        </w:rPr>
        <w:t>Materiali Didattici</w:t>
      </w:r>
      <w:r w:rsidRPr="007066BE">
        <w:rPr>
          <w:lang w:val="it-IT"/>
        </w:rPr>
        <w:t>: Fornire materiali didattici e risorse online per supportare gli insegnanti nell'insegnamento dell'IA.</w:t>
      </w:r>
    </w:p>
    <w:p w14:paraId="4AA72900" w14:textId="77777777" w:rsidR="007066BE" w:rsidRPr="007066BE" w:rsidRDefault="007066BE" w:rsidP="007066BE">
      <w:pPr>
        <w:numPr>
          <w:ilvl w:val="0"/>
          <w:numId w:val="24"/>
        </w:numPr>
        <w:rPr>
          <w:lang w:val="it-IT"/>
        </w:rPr>
      </w:pPr>
      <w:r w:rsidRPr="007066BE">
        <w:rPr>
          <w:b/>
          <w:bCs/>
          <w:lang w:val="it-IT"/>
        </w:rPr>
        <w:t>Mentorship</w:t>
      </w:r>
      <w:r w:rsidRPr="007066BE">
        <w:rPr>
          <w:lang w:val="it-IT"/>
        </w:rPr>
        <w:t>: Creare programmi di mentorship in cui insegnanti esperti in IA possano supportare i colleghi meno esperti.</w:t>
      </w:r>
    </w:p>
    <w:p w14:paraId="09DCCC7B" w14:textId="77777777" w:rsidR="007066BE" w:rsidRPr="007066BE" w:rsidRDefault="007066BE" w:rsidP="007066BE">
      <w:pPr>
        <w:pStyle w:val="Heading2"/>
        <w:rPr>
          <w:lang w:val="it-IT"/>
        </w:rPr>
      </w:pPr>
      <w:bookmarkStart w:id="33" w:name="_Toc182757174"/>
      <w:r w:rsidRPr="007066BE">
        <w:rPr>
          <w:lang w:val="it-IT"/>
        </w:rPr>
        <w:t>4. Policy per lo Sviluppo del Curriculum</w:t>
      </w:r>
      <w:bookmarkEnd w:id="33"/>
    </w:p>
    <w:p w14:paraId="769D383D" w14:textId="77777777" w:rsidR="007066BE" w:rsidRPr="007066BE" w:rsidRDefault="007066BE" w:rsidP="007066BE">
      <w:pPr>
        <w:pStyle w:val="Heading3"/>
      </w:pPr>
      <w:bookmarkStart w:id="34" w:name="_Toc182757175"/>
      <w:r w:rsidRPr="007066BE">
        <w:t>4.1 Collaborazione con Esperti</w:t>
      </w:r>
      <w:bookmarkEnd w:id="34"/>
    </w:p>
    <w:p w14:paraId="088366C9" w14:textId="77777777" w:rsidR="007066BE" w:rsidRPr="007066BE" w:rsidRDefault="007066BE" w:rsidP="007066BE">
      <w:pPr>
        <w:numPr>
          <w:ilvl w:val="0"/>
          <w:numId w:val="25"/>
        </w:numPr>
        <w:rPr>
          <w:lang w:val="it-IT"/>
        </w:rPr>
      </w:pPr>
      <w:r w:rsidRPr="007066BE">
        <w:rPr>
          <w:b/>
          <w:bCs/>
          <w:lang w:val="it-IT"/>
        </w:rPr>
        <w:t>Partnership con Università e Aziende</w:t>
      </w:r>
      <w:r w:rsidRPr="007066BE">
        <w:rPr>
          <w:lang w:val="it-IT"/>
        </w:rPr>
        <w:t>: Stabilire partnership con università e aziende tecnologiche per sviluppare un curriculum aggiornato e rilevante.</w:t>
      </w:r>
    </w:p>
    <w:p w14:paraId="340AF2C7" w14:textId="77777777" w:rsidR="007066BE" w:rsidRPr="007066BE" w:rsidRDefault="007066BE" w:rsidP="007066BE">
      <w:pPr>
        <w:numPr>
          <w:ilvl w:val="0"/>
          <w:numId w:val="25"/>
        </w:numPr>
        <w:rPr>
          <w:lang w:val="it-IT"/>
        </w:rPr>
      </w:pPr>
      <w:r w:rsidRPr="007066BE">
        <w:rPr>
          <w:b/>
          <w:bCs/>
          <w:lang w:val="it-IT"/>
        </w:rPr>
        <w:t>Comitati di Revisione</w:t>
      </w:r>
      <w:r w:rsidRPr="007066BE">
        <w:rPr>
          <w:lang w:val="it-IT"/>
        </w:rPr>
        <w:t>: Creare comitati di revisione del curriculum composti da esperti del settore per garantire che i contenuti siano sempre aggiornati.</w:t>
      </w:r>
    </w:p>
    <w:p w14:paraId="23109A41" w14:textId="77777777" w:rsidR="007066BE" w:rsidRPr="007066BE" w:rsidRDefault="007066BE" w:rsidP="007066BE">
      <w:pPr>
        <w:pStyle w:val="Heading3"/>
      </w:pPr>
      <w:bookmarkStart w:id="35" w:name="_Toc182757176"/>
      <w:r w:rsidRPr="007066BE">
        <w:t>4.2 Materiali Didattici e Risorse Educative</w:t>
      </w:r>
      <w:bookmarkEnd w:id="35"/>
    </w:p>
    <w:p w14:paraId="4EFA80E9" w14:textId="77777777" w:rsidR="007066BE" w:rsidRPr="007066BE" w:rsidRDefault="007066BE" w:rsidP="007066BE">
      <w:pPr>
        <w:numPr>
          <w:ilvl w:val="0"/>
          <w:numId w:val="26"/>
        </w:numPr>
        <w:rPr>
          <w:lang w:val="it-IT"/>
        </w:rPr>
      </w:pPr>
      <w:r w:rsidRPr="007066BE">
        <w:rPr>
          <w:b/>
          <w:bCs/>
          <w:lang w:val="it-IT"/>
        </w:rPr>
        <w:t>Piattaforme Online</w:t>
      </w:r>
      <w:r w:rsidRPr="007066BE">
        <w:rPr>
          <w:lang w:val="it-IT"/>
        </w:rPr>
        <w:t>: Sviluppare piattaforme online che offrano accesso a materiali didattici, esercizi interattivi e risorse di apprendimento sull'IA.</w:t>
      </w:r>
    </w:p>
    <w:p w14:paraId="7B30478D" w14:textId="77777777" w:rsidR="007066BE" w:rsidRPr="007066BE" w:rsidRDefault="007066BE" w:rsidP="007066BE">
      <w:pPr>
        <w:numPr>
          <w:ilvl w:val="0"/>
          <w:numId w:val="26"/>
        </w:numPr>
        <w:rPr>
          <w:lang w:val="it-IT"/>
        </w:rPr>
      </w:pPr>
      <w:r w:rsidRPr="007066BE">
        <w:rPr>
          <w:b/>
          <w:bCs/>
          <w:lang w:val="it-IT"/>
        </w:rPr>
        <w:t>Libri di Testo e Software</w:t>
      </w:r>
      <w:r w:rsidRPr="007066BE">
        <w:rPr>
          <w:lang w:val="it-IT"/>
        </w:rPr>
        <w:t>: Produrre e distribuire libri di testo e software educativi specifici per l'insegnamento dell'IA.</w:t>
      </w:r>
    </w:p>
    <w:p w14:paraId="0635F56C" w14:textId="77777777" w:rsidR="007066BE" w:rsidRPr="007066BE" w:rsidRDefault="007066BE" w:rsidP="007066BE">
      <w:pPr>
        <w:pStyle w:val="Heading2"/>
        <w:rPr>
          <w:lang w:val="it-IT"/>
        </w:rPr>
      </w:pPr>
      <w:bookmarkStart w:id="36" w:name="_Toc182757177"/>
      <w:r w:rsidRPr="007066BE">
        <w:rPr>
          <w:lang w:val="it-IT"/>
        </w:rPr>
        <w:lastRenderedPageBreak/>
        <w:t>5. Policy per l'Inclusività e l'Equità</w:t>
      </w:r>
      <w:bookmarkEnd w:id="36"/>
    </w:p>
    <w:p w14:paraId="5F14D3D3" w14:textId="77777777" w:rsidR="007066BE" w:rsidRPr="007066BE" w:rsidRDefault="007066BE" w:rsidP="007066BE">
      <w:pPr>
        <w:pStyle w:val="Heading3"/>
        <w:rPr>
          <w:lang w:val="it-IT"/>
        </w:rPr>
      </w:pPr>
      <w:bookmarkStart w:id="37" w:name="_Toc182757178"/>
      <w:r w:rsidRPr="007066BE">
        <w:rPr>
          <w:lang w:val="it-IT"/>
        </w:rPr>
        <w:t>5.1 Accesso Equo alle Risorse</w:t>
      </w:r>
      <w:bookmarkEnd w:id="37"/>
    </w:p>
    <w:p w14:paraId="3D0F2A35" w14:textId="77777777" w:rsidR="007066BE" w:rsidRPr="007066BE" w:rsidRDefault="007066BE" w:rsidP="007066BE">
      <w:pPr>
        <w:numPr>
          <w:ilvl w:val="0"/>
          <w:numId w:val="27"/>
        </w:numPr>
        <w:rPr>
          <w:lang w:val="it-IT"/>
        </w:rPr>
      </w:pPr>
      <w:r w:rsidRPr="007066BE">
        <w:rPr>
          <w:b/>
          <w:bCs/>
          <w:lang w:val="it-IT"/>
        </w:rPr>
        <w:t>Finanziamenti Aggiuntivi</w:t>
      </w:r>
      <w:r w:rsidRPr="007066BE">
        <w:rPr>
          <w:lang w:val="it-IT"/>
        </w:rPr>
        <w:t>: Fornire finanziamenti aggiuntivi alle scuole in aree svantaggiate per garantire che abbiano accesso alle stesse risorse tecnologiche delle scuole più avvantaggiate.</w:t>
      </w:r>
    </w:p>
    <w:p w14:paraId="09D303F5" w14:textId="77777777" w:rsidR="007066BE" w:rsidRPr="007066BE" w:rsidRDefault="007066BE" w:rsidP="007066BE">
      <w:pPr>
        <w:numPr>
          <w:ilvl w:val="0"/>
          <w:numId w:val="27"/>
        </w:numPr>
        <w:rPr>
          <w:lang w:val="it-IT"/>
        </w:rPr>
      </w:pPr>
      <w:r w:rsidRPr="007066BE">
        <w:rPr>
          <w:b/>
          <w:bCs/>
          <w:lang w:val="it-IT"/>
        </w:rPr>
        <w:t>Programmi di Inclusione</w:t>
      </w:r>
      <w:r w:rsidRPr="007066BE">
        <w:rPr>
          <w:lang w:val="it-IT"/>
        </w:rPr>
        <w:t>: Implementare programmi specifici per garantire che tutti gli studenti, indipendentemente dal loro background socio-economico, abbiano l'opportunità di apprendere l'IA.</w:t>
      </w:r>
    </w:p>
    <w:p w14:paraId="7F4B732A" w14:textId="77777777" w:rsidR="007066BE" w:rsidRPr="007066BE" w:rsidRDefault="007066BE" w:rsidP="007066BE">
      <w:pPr>
        <w:pStyle w:val="Heading3"/>
      </w:pPr>
      <w:bookmarkStart w:id="38" w:name="_Toc182757179"/>
      <w:r w:rsidRPr="007066BE">
        <w:t>5.2 Sensibilizzazione e Formazione Etica</w:t>
      </w:r>
      <w:bookmarkEnd w:id="38"/>
    </w:p>
    <w:p w14:paraId="0C8E160F" w14:textId="77777777" w:rsidR="007066BE" w:rsidRPr="007066BE" w:rsidRDefault="007066BE" w:rsidP="007066BE">
      <w:pPr>
        <w:numPr>
          <w:ilvl w:val="0"/>
          <w:numId w:val="28"/>
        </w:numPr>
        <w:rPr>
          <w:lang w:val="it-IT"/>
        </w:rPr>
      </w:pPr>
      <w:r w:rsidRPr="007066BE">
        <w:rPr>
          <w:b/>
          <w:bCs/>
          <w:lang w:val="it-IT"/>
        </w:rPr>
        <w:t>Moduli di Etica</w:t>
      </w:r>
      <w:r w:rsidRPr="007066BE">
        <w:rPr>
          <w:lang w:val="it-IT"/>
        </w:rPr>
        <w:t>: Integrare moduli di etica nel curriculum di IA per sensibilizzare gli studenti sulle implicazioni etiche e sociali della tecnologia.</w:t>
      </w:r>
    </w:p>
    <w:p w14:paraId="41F10468" w14:textId="77777777" w:rsidR="007066BE" w:rsidRPr="007066BE" w:rsidRDefault="007066BE" w:rsidP="007066BE">
      <w:pPr>
        <w:numPr>
          <w:ilvl w:val="0"/>
          <w:numId w:val="28"/>
        </w:numPr>
        <w:rPr>
          <w:lang w:val="it-IT"/>
        </w:rPr>
      </w:pPr>
      <w:r w:rsidRPr="007066BE">
        <w:rPr>
          <w:b/>
          <w:bCs/>
          <w:lang w:val="it-IT"/>
        </w:rPr>
        <w:t>Workshop e Seminari</w:t>
      </w:r>
      <w:r w:rsidRPr="007066BE">
        <w:rPr>
          <w:lang w:val="it-IT"/>
        </w:rPr>
        <w:t>: Organizzare workshop e seminari su temi etici legati all'IA, coinvolgendo esperti del settore.</w:t>
      </w:r>
    </w:p>
    <w:p w14:paraId="5642E425" w14:textId="77777777" w:rsidR="007066BE" w:rsidRPr="007066BE" w:rsidRDefault="007066BE" w:rsidP="007066BE">
      <w:pPr>
        <w:pStyle w:val="Heading2"/>
        <w:rPr>
          <w:lang w:val="it-IT"/>
        </w:rPr>
      </w:pPr>
      <w:bookmarkStart w:id="39" w:name="_Toc182757180"/>
      <w:r w:rsidRPr="007066BE">
        <w:rPr>
          <w:lang w:val="it-IT"/>
        </w:rPr>
        <w:t>6. Policy per la Privacy e la Sicurezza dei Dati</w:t>
      </w:r>
      <w:bookmarkEnd w:id="39"/>
    </w:p>
    <w:p w14:paraId="5F373B87" w14:textId="77777777" w:rsidR="007066BE" w:rsidRPr="007066BE" w:rsidRDefault="007066BE" w:rsidP="007066BE">
      <w:pPr>
        <w:pStyle w:val="Heading3"/>
      </w:pPr>
      <w:bookmarkStart w:id="40" w:name="_Toc182757181"/>
      <w:r w:rsidRPr="007066BE">
        <w:t>6.1 Protezione dei Dati</w:t>
      </w:r>
      <w:bookmarkEnd w:id="40"/>
    </w:p>
    <w:p w14:paraId="64F38CF2" w14:textId="77777777" w:rsidR="007066BE" w:rsidRPr="007066BE" w:rsidRDefault="007066BE" w:rsidP="007066BE">
      <w:pPr>
        <w:numPr>
          <w:ilvl w:val="0"/>
          <w:numId w:val="29"/>
        </w:numPr>
        <w:rPr>
          <w:lang w:val="it-IT"/>
        </w:rPr>
      </w:pPr>
      <w:r w:rsidRPr="007066BE">
        <w:rPr>
          <w:b/>
          <w:bCs/>
          <w:lang w:val="it-IT"/>
        </w:rPr>
        <w:t>Norme di Privacy</w:t>
      </w:r>
      <w:r w:rsidRPr="007066BE">
        <w:rPr>
          <w:lang w:val="it-IT"/>
        </w:rPr>
        <w:t>: Implementare norme rigorose di privacy per proteggere i dati degli studenti, garantendo che siano utilizzati solo per scopi educativi.</w:t>
      </w:r>
    </w:p>
    <w:p w14:paraId="6E73171F" w14:textId="77777777" w:rsidR="007066BE" w:rsidRPr="007066BE" w:rsidRDefault="007066BE" w:rsidP="007066BE">
      <w:pPr>
        <w:numPr>
          <w:ilvl w:val="0"/>
          <w:numId w:val="29"/>
        </w:numPr>
        <w:rPr>
          <w:lang w:val="it-IT"/>
        </w:rPr>
      </w:pPr>
      <w:r w:rsidRPr="007066BE">
        <w:rPr>
          <w:b/>
          <w:bCs/>
          <w:lang w:val="it-IT"/>
        </w:rPr>
        <w:t>Consenso Informato</w:t>
      </w:r>
      <w:r w:rsidRPr="007066BE">
        <w:rPr>
          <w:lang w:val="it-IT"/>
        </w:rPr>
        <w:t>: Assicurare che i genitori e gli studenti siano informati su come i loro dati saranno utilizzati e abbiano la possibilità di dare o negare il consenso.</w:t>
      </w:r>
    </w:p>
    <w:p w14:paraId="504B0017" w14:textId="77777777" w:rsidR="007066BE" w:rsidRPr="007066BE" w:rsidRDefault="007066BE" w:rsidP="007066BE">
      <w:pPr>
        <w:pStyle w:val="Heading3"/>
      </w:pPr>
      <w:bookmarkStart w:id="41" w:name="_Toc182757182"/>
      <w:r w:rsidRPr="007066BE">
        <w:t>6.2 Sicurezza Informatica</w:t>
      </w:r>
      <w:bookmarkEnd w:id="41"/>
    </w:p>
    <w:p w14:paraId="684F47B2" w14:textId="77777777" w:rsidR="007066BE" w:rsidRPr="007066BE" w:rsidRDefault="007066BE" w:rsidP="007066BE">
      <w:pPr>
        <w:numPr>
          <w:ilvl w:val="0"/>
          <w:numId w:val="30"/>
        </w:numPr>
        <w:rPr>
          <w:lang w:val="it-IT"/>
        </w:rPr>
      </w:pPr>
      <w:r w:rsidRPr="007066BE">
        <w:rPr>
          <w:b/>
          <w:bCs/>
          <w:lang w:val="it-IT"/>
        </w:rPr>
        <w:t>Sistemi di Sicurezza</w:t>
      </w:r>
      <w:r w:rsidRPr="007066BE">
        <w:rPr>
          <w:lang w:val="it-IT"/>
        </w:rPr>
        <w:t>: Implementare sistemi di sicurezza informatica per proteggere le infrastrutture tecnologiche delle scuole da accessi non autorizzati e attacchi informatici.</w:t>
      </w:r>
    </w:p>
    <w:p w14:paraId="447E7398" w14:textId="77777777" w:rsidR="007066BE" w:rsidRPr="007066BE" w:rsidRDefault="007066BE" w:rsidP="007066BE">
      <w:pPr>
        <w:numPr>
          <w:ilvl w:val="0"/>
          <w:numId w:val="30"/>
        </w:numPr>
        <w:rPr>
          <w:lang w:val="it-IT"/>
        </w:rPr>
      </w:pPr>
      <w:r w:rsidRPr="007066BE">
        <w:rPr>
          <w:b/>
          <w:bCs/>
          <w:lang w:val="it-IT"/>
        </w:rPr>
        <w:t>Formazione sulla Sicurezza</w:t>
      </w:r>
      <w:r w:rsidRPr="007066BE">
        <w:rPr>
          <w:lang w:val="it-IT"/>
        </w:rPr>
        <w:t>: Formare insegnanti e studenti sulle migliori pratiche di sicurezza informatica.</w:t>
      </w:r>
    </w:p>
    <w:p w14:paraId="422578B1" w14:textId="77777777" w:rsidR="007066BE" w:rsidRPr="007066BE" w:rsidRDefault="007066BE" w:rsidP="007066BE">
      <w:pPr>
        <w:pStyle w:val="Heading3"/>
        <w:rPr>
          <w:lang w:val="it-IT"/>
        </w:rPr>
      </w:pPr>
      <w:bookmarkStart w:id="42" w:name="_Toc182757183"/>
      <w:r w:rsidRPr="007066BE">
        <w:rPr>
          <w:lang w:val="it-IT"/>
        </w:rPr>
        <w:t>7. Policy per il Monitoraggio e la Valutazione</w:t>
      </w:r>
      <w:bookmarkEnd w:id="42"/>
    </w:p>
    <w:p w14:paraId="3293FC69" w14:textId="77777777" w:rsidR="007066BE" w:rsidRPr="007066BE" w:rsidRDefault="007066BE" w:rsidP="007066BE">
      <w:pPr>
        <w:pStyle w:val="Heading3"/>
      </w:pPr>
      <w:bookmarkStart w:id="43" w:name="_Toc182757184"/>
      <w:r w:rsidRPr="007066BE">
        <w:t>7.1 Valutazione dell'Efficacia</w:t>
      </w:r>
      <w:bookmarkEnd w:id="43"/>
    </w:p>
    <w:p w14:paraId="72472760" w14:textId="77777777" w:rsidR="007066BE" w:rsidRPr="007066BE" w:rsidRDefault="007066BE" w:rsidP="007066BE">
      <w:pPr>
        <w:numPr>
          <w:ilvl w:val="0"/>
          <w:numId w:val="31"/>
        </w:numPr>
        <w:rPr>
          <w:lang w:val="it-IT"/>
        </w:rPr>
      </w:pPr>
      <w:r w:rsidRPr="007066BE">
        <w:rPr>
          <w:b/>
          <w:bCs/>
          <w:lang w:val="it-IT"/>
        </w:rPr>
        <w:t>Indicatori di Performance</w:t>
      </w:r>
      <w:r w:rsidRPr="007066BE">
        <w:rPr>
          <w:lang w:val="it-IT"/>
        </w:rPr>
        <w:t>: Stabilire indicatori di performance per valutare l'efficacia dell'insegnamento dell'IA nelle scuole.</w:t>
      </w:r>
    </w:p>
    <w:p w14:paraId="2EBE88E9" w14:textId="77777777" w:rsidR="007066BE" w:rsidRPr="007066BE" w:rsidRDefault="007066BE" w:rsidP="007066BE">
      <w:pPr>
        <w:numPr>
          <w:ilvl w:val="0"/>
          <w:numId w:val="31"/>
        </w:numPr>
        <w:rPr>
          <w:lang w:val="it-IT"/>
        </w:rPr>
      </w:pPr>
      <w:r w:rsidRPr="007066BE">
        <w:rPr>
          <w:b/>
          <w:bCs/>
          <w:lang w:val="it-IT"/>
        </w:rPr>
        <w:t>Feedback Continuo</w:t>
      </w:r>
      <w:r w:rsidRPr="007066BE">
        <w:rPr>
          <w:lang w:val="it-IT"/>
        </w:rPr>
        <w:t>: Raccogliere feedback continuo da insegnanti, studenti e genitori per apportare miglioramenti al curriculum e alle metodologie di insegnamento.</w:t>
      </w:r>
    </w:p>
    <w:p w14:paraId="5E971002" w14:textId="77777777" w:rsidR="007066BE" w:rsidRPr="007066BE" w:rsidRDefault="007066BE" w:rsidP="007066BE">
      <w:pPr>
        <w:pStyle w:val="Heading3"/>
      </w:pPr>
      <w:bookmarkStart w:id="44" w:name="_Toc182757185"/>
      <w:r w:rsidRPr="007066BE">
        <w:t>7.2 Rapporti Periodici</w:t>
      </w:r>
      <w:bookmarkEnd w:id="44"/>
    </w:p>
    <w:p w14:paraId="644E13DC" w14:textId="77777777" w:rsidR="007066BE" w:rsidRPr="007066BE" w:rsidRDefault="007066BE" w:rsidP="007066BE">
      <w:pPr>
        <w:numPr>
          <w:ilvl w:val="0"/>
          <w:numId w:val="32"/>
        </w:numPr>
        <w:rPr>
          <w:lang w:val="it-IT"/>
        </w:rPr>
      </w:pPr>
      <w:r w:rsidRPr="007066BE">
        <w:rPr>
          <w:b/>
          <w:bCs/>
          <w:lang w:val="it-IT"/>
        </w:rPr>
        <w:t>Rapporti di Progresso</w:t>
      </w:r>
      <w:r w:rsidRPr="007066BE">
        <w:rPr>
          <w:lang w:val="it-IT"/>
        </w:rPr>
        <w:t>: Pubblicare rapporti periodici sul progresso dell'implementazione dell'IA nelle scuole, evidenziando successi e aree di miglioramento.</w:t>
      </w:r>
    </w:p>
    <w:p w14:paraId="225CD7C9" w14:textId="77777777" w:rsidR="007066BE" w:rsidRPr="007066BE" w:rsidRDefault="007066BE" w:rsidP="007066BE">
      <w:pPr>
        <w:numPr>
          <w:ilvl w:val="0"/>
          <w:numId w:val="32"/>
        </w:numPr>
        <w:rPr>
          <w:lang w:val="it-IT"/>
        </w:rPr>
      </w:pPr>
      <w:r w:rsidRPr="007066BE">
        <w:rPr>
          <w:b/>
          <w:bCs/>
          <w:lang w:val="it-IT"/>
        </w:rPr>
        <w:t>Audit Esterni</w:t>
      </w:r>
      <w:r w:rsidRPr="007066BE">
        <w:rPr>
          <w:lang w:val="it-IT"/>
        </w:rPr>
        <w:t>: Condurre audit esterni per garantire la trasparenza e l'efficacia delle politiche implementate.</w:t>
      </w:r>
    </w:p>
    <w:p w14:paraId="5ECEECF8" w14:textId="77777777" w:rsidR="007066BE" w:rsidRPr="007066BE" w:rsidRDefault="007066BE" w:rsidP="007066BE">
      <w:pPr>
        <w:pStyle w:val="Heading2"/>
        <w:rPr>
          <w:lang w:val="it-IT"/>
        </w:rPr>
      </w:pPr>
      <w:bookmarkStart w:id="45" w:name="_Toc182757186"/>
      <w:r w:rsidRPr="007066BE">
        <w:rPr>
          <w:lang w:val="it-IT"/>
        </w:rPr>
        <w:t>8. Conclusione</w:t>
      </w:r>
      <w:bookmarkEnd w:id="45"/>
    </w:p>
    <w:p w14:paraId="4365D3B7" w14:textId="77777777" w:rsidR="007066BE" w:rsidRPr="007066BE" w:rsidRDefault="007066BE" w:rsidP="007066BE">
      <w:pPr>
        <w:rPr>
          <w:lang w:val="it-IT"/>
        </w:rPr>
      </w:pPr>
      <w:r w:rsidRPr="007066BE">
        <w:rPr>
          <w:lang w:val="it-IT"/>
        </w:rPr>
        <w:t>L'introduzione dell'intelligenza artificiale nelle scuole richiede una gestione operativa attenta e ben strutturata. Le policy proposte mirano a garantire che l'implementazione dell'IA sia efficace, equa e sostenibile, massimizzando i benefici educativi ed economici per tutti gli studenti. Con un approccio coordinato e inclusivo, possiamo preparare le future generazioni a un mondo sempre più tecnologico e interconnesso.</w:t>
      </w:r>
    </w:p>
    <w:p w14:paraId="3477E35B" w14:textId="77777777" w:rsidR="007066BE" w:rsidRPr="007066BE" w:rsidRDefault="007066BE" w:rsidP="007066BE">
      <w:pPr>
        <w:pStyle w:val="Heading2"/>
      </w:pPr>
      <w:bookmarkStart w:id="46" w:name="_Toc182757187"/>
      <w:r w:rsidRPr="007066BE">
        <w:t>9. Raccomandazioni Finali</w:t>
      </w:r>
      <w:bookmarkEnd w:id="46"/>
    </w:p>
    <w:p w14:paraId="7659E5A9" w14:textId="77777777" w:rsidR="007066BE" w:rsidRPr="007066BE" w:rsidRDefault="007066BE" w:rsidP="007066BE">
      <w:pPr>
        <w:numPr>
          <w:ilvl w:val="0"/>
          <w:numId w:val="33"/>
        </w:numPr>
        <w:rPr>
          <w:lang w:val="it-IT"/>
        </w:rPr>
      </w:pPr>
      <w:r w:rsidRPr="007066BE">
        <w:rPr>
          <w:b/>
          <w:bCs/>
          <w:lang w:val="it-IT"/>
        </w:rPr>
        <w:t>Pianificazione Strategica</w:t>
      </w:r>
      <w:r w:rsidRPr="007066BE">
        <w:rPr>
          <w:lang w:val="it-IT"/>
        </w:rPr>
        <w:t>: Sviluppare un piano strategico a lungo termine per l'implementazione dell'IA nelle scuole, con obiettivi chiari e misurabili.</w:t>
      </w:r>
    </w:p>
    <w:p w14:paraId="71CC68CC" w14:textId="77777777" w:rsidR="007066BE" w:rsidRPr="007066BE" w:rsidRDefault="007066BE" w:rsidP="007066BE">
      <w:pPr>
        <w:numPr>
          <w:ilvl w:val="0"/>
          <w:numId w:val="33"/>
        </w:numPr>
        <w:rPr>
          <w:lang w:val="it-IT"/>
        </w:rPr>
      </w:pPr>
      <w:r w:rsidRPr="007066BE">
        <w:rPr>
          <w:b/>
          <w:bCs/>
          <w:lang w:val="it-IT"/>
        </w:rPr>
        <w:lastRenderedPageBreak/>
        <w:t>Collaborazione e Partnership</w:t>
      </w:r>
      <w:r w:rsidRPr="007066BE">
        <w:rPr>
          <w:lang w:val="it-IT"/>
        </w:rPr>
        <w:t>: Favorire la collaborazione tra scuole, università, aziende tecnologiche e governi per condividere risorse e competenze.</w:t>
      </w:r>
    </w:p>
    <w:p w14:paraId="49DD433C" w14:textId="77777777" w:rsidR="007066BE" w:rsidRPr="007066BE" w:rsidRDefault="007066BE" w:rsidP="007066BE">
      <w:pPr>
        <w:numPr>
          <w:ilvl w:val="0"/>
          <w:numId w:val="33"/>
        </w:numPr>
        <w:rPr>
          <w:lang w:val="it-IT"/>
        </w:rPr>
      </w:pPr>
      <w:r w:rsidRPr="007066BE">
        <w:rPr>
          <w:b/>
          <w:bCs/>
          <w:lang w:val="it-IT"/>
        </w:rPr>
        <w:t>Investimenti Sostenibili</w:t>
      </w:r>
      <w:r w:rsidRPr="007066BE">
        <w:rPr>
          <w:lang w:val="it-IT"/>
        </w:rPr>
        <w:t>: Garantire investimenti sostenibili per mantenere e aggiornare le infrastrutture tecnologiche e i programmi di formazione.</w:t>
      </w:r>
    </w:p>
    <w:p w14:paraId="486928A4" w14:textId="77777777" w:rsidR="007066BE" w:rsidRPr="007066BE" w:rsidRDefault="007066BE" w:rsidP="007066BE">
      <w:pPr>
        <w:numPr>
          <w:ilvl w:val="0"/>
          <w:numId w:val="33"/>
        </w:numPr>
        <w:rPr>
          <w:lang w:val="it-IT"/>
        </w:rPr>
      </w:pPr>
      <w:r w:rsidRPr="007066BE">
        <w:rPr>
          <w:b/>
          <w:bCs/>
          <w:lang w:val="it-IT"/>
        </w:rPr>
        <w:t>Inclusività e Accessibilità</w:t>
      </w:r>
      <w:r w:rsidRPr="007066BE">
        <w:rPr>
          <w:lang w:val="it-IT"/>
        </w:rPr>
        <w:t>: Promuovere politiche di inclusività e accessibilità per garantire che tutti gli studenti abbiano le stesse opportunità di apprendere e beneficiare dell'IA.</w:t>
      </w:r>
    </w:p>
    <w:p w14:paraId="0548FF3D" w14:textId="77777777" w:rsidR="007066BE" w:rsidRPr="007066BE" w:rsidRDefault="007066BE" w:rsidP="007066BE">
      <w:pPr>
        <w:rPr>
          <w:lang w:val="it-IT"/>
        </w:rPr>
      </w:pPr>
      <w:r w:rsidRPr="007066BE">
        <w:rPr>
          <w:lang w:val="it-IT"/>
        </w:rPr>
        <w:t>L'adozione di queste policy contribuirà a creare un sistema educativo più innovativo, equo e preparato per le sfide del futuro.</w:t>
      </w:r>
    </w:p>
    <w:p w14:paraId="5029191F" w14:textId="77777777" w:rsidR="006F1724" w:rsidRPr="007066BE" w:rsidRDefault="006F1724">
      <w:pPr>
        <w:rPr>
          <w:lang w:val="it-IT"/>
        </w:rPr>
      </w:pPr>
    </w:p>
    <w:sectPr w:rsidR="006F1724" w:rsidRPr="007066BE" w:rsidSect="00A94B7E">
      <w:footerReference w:type="default" r:id="rId8"/>
      <w:pgSz w:w="11907" w:h="16840" w:code="9"/>
      <w:pgMar w:top="720" w:right="720" w:bottom="720" w:left="720" w:header="709" w:footer="1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FACF6" w14:textId="77777777" w:rsidR="00A94B7E" w:rsidRDefault="00A94B7E" w:rsidP="00A94B7E">
      <w:pPr>
        <w:spacing w:after="0" w:line="240" w:lineRule="auto"/>
      </w:pPr>
      <w:r>
        <w:separator/>
      </w:r>
    </w:p>
  </w:endnote>
  <w:endnote w:type="continuationSeparator" w:id="0">
    <w:p w14:paraId="06AA19CC" w14:textId="77777777" w:rsidR="00A94B7E" w:rsidRDefault="00A94B7E" w:rsidP="00A9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3810269"/>
      <w:docPartObj>
        <w:docPartGallery w:val="Page Numbers (Bottom of Page)"/>
        <w:docPartUnique/>
      </w:docPartObj>
    </w:sdtPr>
    <w:sdtEndPr>
      <w:rPr>
        <w:noProof/>
      </w:rPr>
    </w:sdtEndPr>
    <w:sdtContent>
      <w:p w14:paraId="6B6A31D4" w14:textId="0B409A86" w:rsidR="00A94B7E" w:rsidRDefault="00A94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17A2FC" w14:textId="77777777" w:rsidR="00A94B7E" w:rsidRDefault="00A9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56B3A" w14:textId="77777777" w:rsidR="00A94B7E" w:rsidRDefault="00A94B7E" w:rsidP="00A94B7E">
      <w:pPr>
        <w:spacing w:after="0" w:line="240" w:lineRule="auto"/>
      </w:pPr>
      <w:r>
        <w:separator/>
      </w:r>
    </w:p>
  </w:footnote>
  <w:footnote w:type="continuationSeparator" w:id="0">
    <w:p w14:paraId="059E8EE3" w14:textId="77777777" w:rsidR="00A94B7E" w:rsidRDefault="00A94B7E" w:rsidP="00A94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6A06"/>
    <w:multiLevelType w:val="multilevel"/>
    <w:tmpl w:val="864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4B6F"/>
    <w:multiLevelType w:val="multilevel"/>
    <w:tmpl w:val="6E78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5766D"/>
    <w:multiLevelType w:val="multilevel"/>
    <w:tmpl w:val="EFD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36B09"/>
    <w:multiLevelType w:val="multilevel"/>
    <w:tmpl w:val="112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A5EB3"/>
    <w:multiLevelType w:val="multilevel"/>
    <w:tmpl w:val="A722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34D0D"/>
    <w:multiLevelType w:val="multilevel"/>
    <w:tmpl w:val="411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AF7AA6"/>
    <w:multiLevelType w:val="multilevel"/>
    <w:tmpl w:val="10E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E1F6A"/>
    <w:multiLevelType w:val="multilevel"/>
    <w:tmpl w:val="B32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13842"/>
    <w:multiLevelType w:val="multilevel"/>
    <w:tmpl w:val="01E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A189E"/>
    <w:multiLevelType w:val="multilevel"/>
    <w:tmpl w:val="3CA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F73DA"/>
    <w:multiLevelType w:val="multilevel"/>
    <w:tmpl w:val="7A3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247F1F"/>
    <w:multiLevelType w:val="multilevel"/>
    <w:tmpl w:val="23D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7324E8"/>
    <w:multiLevelType w:val="multilevel"/>
    <w:tmpl w:val="03E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84AA7"/>
    <w:multiLevelType w:val="multilevel"/>
    <w:tmpl w:val="72B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45451"/>
    <w:multiLevelType w:val="multilevel"/>
    <w:tmpl w:val="C85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C258F"/>
    <w:multiLevelType w:val="multilevel"/>
    <w:tmpl w:val="56F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E5B8B"/>
    <w:multiLevelType w:val="multilevel"/>
    <w:tmpl w:val="572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813220"/>
    <w:multiLevelType w:val="multilevel"/>
    <w:tmpl w:val="458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DC2B81"/>
    <w:multiLevelType w:val="multilevel"/>
    <w:tmpl w:val="483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2872DB"/>
    <w:multiLevelType w:val="multilevel"/>
    <w:tmpl w:val="313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2E1F03"/>
    <w:multiLevelType w:val="multilevel"/>
    <w:tmpl w:val="F5E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565F3"/>
    <w:multiLevelType w:val="multilevel"/>
    <w:tmpl w:val="D00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DC32DD"/>
    <w:multiLevelType w:val="multilevel"/>
    <w:tmpl w:val="220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FB0D1F"/>
    <w:multiLevelType w:val="multilevel"/>
    <w:tmpl w:val="40D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0D20B1"/>
    <w:multiLevelType w:val="multilevel"/>
    <w:tmpl w:val="CB8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6475F"/>
    <w:multiLevelType w:val="multilevel"/>
    <w:tmpl w:val="8CE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766DB6"/>
    <w:multiLevelType w:val="multilevel"/>
    <w:tmpl w:val="453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9006D0"/>
    <w:multiLevelType w:val="multilevel"/>
    <w:tmpl w:val="FAB2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383791"/>
    <w:multiLevelType w:val="multilevel"/>
    <w:tmpl w:val="DB6E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E051F8"/>
    <w:multiLevelType w:val="multilevel"/>
    <w:tmpl w:val="D96A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237514"/>
    <w:multiLevelType w:val="multilevel"/>
    <w:tmpl w:val="AB8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9E4DD8"/>
    <w:multiLevelType w:val="multilevel"/>
    <w:tmpl w:val="52F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8B42E9"/>
    <w:multiLevelType w:val="multilevel"/>
    <w:tmpl w:val="348E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74451">
    <w:abstractNumId w:val="16"/>
  </w:num>
  <w:num w:numId="2" w16cid:durableId="306596093">
    <w:abstractNumId w:val="9"/>
  </w:num>
  <w:num w:numId="3" w16cid:durableId="26954825">
    <w:abstractNumId w:val="23"/>
  </w:num>
  <w:num w:numId="4" w16cid:durableId="1082262226">
    <w:abstractNumId w:val="19"/>
  </w:num>
  <w:num w:numId="5" w16cid:durableId="274870350">
    <w:abstractNumId w:val="18"/>
  </w:num>
  <w:num w:numId="6" w16cid:durableId="561672567">
    <w:abstractNumId w:val="31"/>
  </w:num>
  <w:num w:numId="7" w16cid:durableId="1686055542">
    <w:abstractNumId w:val="17"/>
  </w:num>
  <w:num w:numId="8" w16cid:durableId="1632318874">
    <w:abstractNumId w:val="10"/>
  </w:num>
  <w:num w:numId="9" w16cid:durableId="1502625730">
    <w:abstractNumId w:val="7"/>
  </w:num>
  <w:num w:numId="10" w16cid:durableId="1446803854">
    <w:abstractNumId w:val="14"/>
  </w:num>
  <w:num w:numId="11" w16cid:durableId="2046439834">
    <w:abstractNumId w:val="6"/>
  </w:num>
  <w:num w:numId="12" w16cid:durableId="340666960">
    <w:abstractNumId w:val="28"/>
  </w:num>
  <w:num w:numId="13" w16cid:durableId="600600339">
    <w:abstractNumId w:val="2"/>
  </w:num>
  <w:num w:numId="14" w16cid:durableId="1463886670">
    <w:abstractNumId w:val="32"/>
  </w:num>
  <w:num w:numId="15" w16cid:durableId="444662665">
    <w:abstractNumId w:val="5"/>
  </w:num>
  <w:num w:numId="16" w16cid:durableId="1307662304">
    <w:abstractNumId w:val="21"/>
  </w:num>
  <w:num w:numId="17" w16cid:durableId="1934128322">
    <w:abstractNumId w:val="0"/>
  </w:num>
  <w:num w:numId="18" w16cid:durableId="670643182">
    <w:abstractNumId w:val="1"/>
  </w:num>
  <w:num w:numId="19" w16cid:durableId="1947691047">
    <w:abstractNumId w:val="20"/>
  </w:num>
  <w:num w:numId="20" w16cid:durableId="1102803121">
    <w:abstractNumId w:val="27"/>
  </w:num>
  <w:num w:numId="21" w16cid:durableId="259148041">
    <w:abstractNumId w:val="30"/>
  </w:num>
  <w:num w:numId="22" w16cid:durableId="703362762">
    <w:abstractNumId w:val="12"/>
  </w:num>
  <w:num w:numId="23" w16cid:durableId="760763235">
    <w:abstractNumId w:val="25"/>
  </w:num>
  <w:num w:numId="24" w16cid:durableId="1428693060">
    <w:abstractNumId w:val="15"/>
  </w:num>
  <w:num w:numId="25" w16cid:durableId="269049589">
    <w:abstractNumId w:val="4"/>
  </w:num>
  <w:num w:numId="26" w16cid:durableId="1748840587">
    <w:abstractNumId w:val="13"/>
  </w:num>
  <w:num w:numId="27" w16cid:durableId="1521043376">
    <w:abstractNumId w:val="3"/>
  </w:num>
  <w:num w:numId="28" w16cid:durableId="510797354">
    <w:abstractNumId w:val="24"/>
  </w:num>
  <w:num w:numId="29" w16cid:durableId="459542982">
    <w:abstractNumId w:val="22"/>
  </w:num>
  <w:num w:numId="30" w16cid:durableId="1627934038">
    <w:abstractNumId w:val="29"/>
  </w:num>
  <w:num w:numId="31" w16cid:durableId="1122193869">
    <w:abstractNumId w:val="11"/>
  </w:num>
  <w:num w:numId="32" w16cid:durableId="936791372">
    <w:abstractNumId w:val="26"/>
  </w:num>
  <w:num w:numId="33" w16cid:durableId="1708136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BE"/>
    <w:rsid w:val="00070898"/>
    <w:rsid w:val="00084EDF"/>
    <w:rsid w:val="000B7A87"/>
    <w:rsid w:val="001510A1"/>
    <w:rsid w:val="001A2C07"/>
    <w:rsid w:val="002A4896"/>
    <w:rsid w:val="00304490"/>
    <w:rsid w:val="00654EE4"/>
    <w:rsid w:val="006F1724"/>
    <w:rsid w:val="007066BE"/>
    <w:rsid w:val="008E2CA8"/>
    <w:rsid w:val="009E3775"/>
    <w:rsid w:val="00A9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167951"/>
  <w15:chartTrackingRefBased/>
  <w15:docId w15:val="{E0D6FA2A-22F6-4DC1-B0CA-E94442DA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BE"/>
    <w:pPr>
      <w:keepNext/>
      <w:keepLines/>
      <w:spacing w:before="480" w:after="0" w:line="276" w:lineRule="auto"/>
      <w:outlineLvl w:val="0"/>
    </w:pPr>
    <w:rPr>
      <w:rFonts w:asciiTheme="majorHAnsi" w:eastAsiaTheme="majorEastAsia" w:hAnsiTheme="majorHAnsi" w:cstheme="majorBidi"/>
      <w:b/>
      <w:bCs/>
      <w:color w:val="7030A0"/>
      <w:sz w:val="28"/>
      <w:szCs w:val="28"/>
    </w:rPr>
  </w:style>
  <w:style w:type="paragraph" w:styleId="Heading2">
    <w:name w:val="heading 2"/>
    <w:basedOn w:val="Normal"/>
    <w:next w:val="Normal"/>
    <w:link w:val="Heading2Char"/>
    <w:uiPriority w:val="9"/>
    <w:unhideWhenUsed/>
    <w:qFormat/>
    <w:rsid w:val="007066BE"/>
    <w:pPr>
      <w:keepNext/>
      <w:keepLines/>
      <w:spacing w:before="200" w:after="0" w:line="276" w:lineRule="auto"/>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066BE"/>
    <w:pPr>
      <w:keepNext/>
      <w:keepLines/>
      <w:spacing w:before="200" w:after="0" w:line="276" w:lineRule="auto"/>
      <w:outlineLvl w:val="2"/>
    </w:pPr>
    <w:rPr>
      <w:rFonts w:asciiTheme="majorHAnsi" w:eastAsiaTheme="majorEastAsia" w:hAnsiTheme="majorHAnsi" w:cstheme="majorBidi"/>
      <w:b/>
      <w:bCs/>
      <w:color w:val="3A7C22" w:themeColor="accent6" w:themeShade="BF"/>
    </w:rPr>
  </w:style>
  <w:style w:type="paragraph" w:styleId="Heading4">
    <w:name w:val="heading 4"/>
    <w:basedOn w:val="Normal"/>
    <w:next w:val="Normal"/>
    <w:link w:val="Heading4Char"/>
    <w:uiPriority w:val="9"/>
    <w:semiHidden/>
    <w:unhideWhenUsed/>
    <w:qFormat/>
    <w:rsid w:val="00706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6BE"/>
    <w:rPr>
      <w:rFonts w:asciiTheme="majorHAnsi" w:eastAsiaTheme="majorEastAsia" w:hAnsiTheme="majorHAnsi" w:cstheme="majorBidi"/>
      <w:b/>
      <w:bCs/>
      <w:color w:val="3A7C22" w:themeColor="accent6" w:themeShade="BF"/>
    </w:rPr>
  </w:style>
  <w:style w:type="character" w:customStyle="1" w:styleId="Heading2Char">
    <w:name w:val="Heading 2 Char"/>
    <w:basedOn w:val="DefaultParagraphFont"/>
    <w:link w:val="Heading2"/>
    <w:uiPriority w:val="9"/>
    <w:rsid w:val="007066BE"/>
    <w:rPr>
      <w:rFonts w:asciiTheme="majorHAnsi" w:eastAsiaTheme="majorEastAsia" w:hAnsiTheme="majorHAnsi" w:cstheme="majorBidi"/>
      <w:b/>
      <w:bCs/>
      <w:color w:val="0070C0"/>
      <w:sz w:val="26"/>
      <w:szCs w:val="26"/>
    </w:rPr>
  </w:style>
  <w:style w:type="character" w:customStyle="1" w:styleId="Heading1Char">
    <w:name w:val="Heading 1 Char"/>
    <w:basedOn w:val="DefaultParagraphFont"/>
    <w:link w:val="Heading1"/>
    <w:uiPriority w:val="9"/>
    <w:rsid w:val="007066BE"/>
    <w:rPr>
      <w:rFonts w:asciiTheme="majorHAnsi" w:eastAsiaTheme="majorEastAsia" w:hAnsiTheme="majorHAnsi" w:cstheme="majorBidi"/>
      <w:b/>
      <w:bCs/>
      <w:color w:val="7030A0"/>
      <w:sz w:val="28"/>
      <w:szCs w:val="28"/>
    </w:rPr>
  </w:style>
  <w:style w:type="character" w:customStyle="1" w:styleId="Heading4Char">
    <w:name w:val="Heading 4 Char"/>
    <w:basedOn w:val="DefaultParagraphFont"/>
    <w:link w:val="Heading4"/>
    <w:uiPriority w:val="9"/>
    <w:semiHidden/>
    <w:rsid w:val="00706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6BE"/>
    <w:rPr>
      <w:rFonts w:eastAsiaTheme="majorEastAsia" w:cstheme="majorBidi"/>
      <w:color w:val="272727" w:themeColor="text1" w:themeTint="D8"/>
    </w:rPr>
  </w:style>
  <w:style w:type="paragraph" w:styleId="Title">
    <w:name w:val="Title"/>
    <w:basedOn w:val="Normal"/>
    <w:next w:val="Normal"/>
    <w:link w:val="TitleChar"/>
    <w:uiPriority w:val="10"/>
    <w:qFormat/>
    <w:rsid w:val="00706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6BE"/>
    <w:pPr>
      <w:spacing w:before="160"/>
      <w:jc w:val="center"/>
    </w:pPr>
    <w:rPr>
      <w:i/>
      <w:iCs/>
      <w:color w:val="404040" w:themeColor="text1" w:themeTint="BF"/>
    </w:rPr>
  </w:style>
  <w:style w:type="character" w:customStyle="1" w:styleId="QuoteChar">
    <w:name w:val="Quote Char"/>
    <w:basedOn w:val="DefaultParagraphFont"/>
    <w:link w:val="Quote"/>
    <w:uiPriority w:val="29"/>
    <w:rsid w:val="007066BE"/>
    <w:rPr>
      <w:i/>
      <w:iCs/>
      <w:color w:val="404040" w:themeColor="text1" w:themeTint="BF"/>
    </w:rPr>
  </w:style>
  <w:style w:type="paragraph" w:styleId="ListParagraph">
    <w:name w:val="List Paragraph"/>
    <w:basedOn w:val="Normal"/>
    <w:uiPriority w:val="34"/>
    <w:qFormat/>
    <w:rsid w:val="007066BE"/>
    <w:pPr>
      <w:ind w:left="720"/>
      <w:contextualSpacing/>
    </w:pPr>
  </w:style>
  <w:style w:type="character" w:styleId="IntenseEmphasis">
    <w:name w:val="Intense Emphasis"/>
    <w:basedOn w:val="DefaultParagraphFont"/>
    <w:uiPriority w:val="21"/>
    <w:qFormat/>
    <w:rsid w:val="007066BE"/>
    <w:rPr>
      <w:i/>
      <w:iCs/>
      <w:color w:val="0F4761" w:themeColor="accent1" w:themeShade="BF"/>
    </w:rPr>
  </w:style>
  <w:style w:type="paragraph" w:styleId="IntenseQuote">
    <w:name w:val="Intense Quote"/>
    <w:basedOn w:val="Normal"/>
    <w:next w:val="Normal"/>
    <w:link w:val="IntenseQuoteChar"/>
    <w:uiPriority w:val="30"/>
    <w:qFormat/>
    <w:rsid w:val="00706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6BE"/>
    <w:rPr>
      <w:i/>
      <w:iCs/>
      <w:color w:val="0F4761" w:themeColor="accent1" w:themeShade="BF"/>
    </w:rPr>
  </w:style>
  <w:style w:type="character" w:styleId="IntenseReference">
    <w:name w:val="Intense Reference"/>
    <w:basedOn w:val="DefaultParagraphFont"/>
    <w:uiPriority w:val="32"/>
    <w:qFormat/>
    <w:rsid w:val="007066BE"/>
    <w:rPr>
      <w:b/>
      <w:bCs/>
      <w:smallCaps/>
      <w:color w:val="0F4761" w:themeColor="accent1" w:themeShade="BF"/>
      <w:spacing w:val="5"/>
    </w:rPr>
  </w:style>
  <w:style w:type="paragraph" w:styleId="TOCHeading">
    <w:name w:val="TOC Heading"/>
    <w:basedOn w:val="Heading1"/>
    <w:next w:val="Normal"/>
    <w:uiPriority w:val="39"/>
    <w:unhideWhenUsed/>
    <w:qFormat/>
    <w:rsid w:val="00A94B7E"/>
    <w:pPr>
      <w:spacing w:before="240" w:line="259" w:lineRule="auto"/>
      <w:outlineLvl w:val="9"/>
    </w:pPr>
    <w:rPr>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94B7E"/>
    <w:pPr>
      <w:spacing w:after="100"/>
    </w:pPr>
  </w:style>
  <w:style w:type="paragraph" w:styleId="TOC2">
    <w:name w:val="toc 2"/>
    <w:basedOn w:val="Normal"/>
    <w:next w:val="Normal"/>
    <w:autoRedefine/>
    <w:uiPriority w:val="39"/>
    <w:unhideWhenUsed/>
    <w:rsid w:val="00A94B7E"/>
    <w:pPr>
      <w:spacing w:after="100"/>
      <w:ind w:left="220"/>
    </w:pPr>
  </w:style>
  <w:style w:type="paragraph" w:styleId="TOC3">
    <w:name w:val="toc 3"/>
    <w:basedOn w:val="Normal"/>
    <w:next w:val="Normal"/>
    <w:autoRedefine/>
    <w:uiPriority w:val="39"/>
    <w:unhideWhenUsed/>
    <w:rsid w:val="00A94B7E"/>
    <w:pPr>
      <w:spacing w:after="100"/>
      <w:ind w:left="440"/>
    </w:pPr>
  </w:style>
  <w:style w:type="character" w:styleId="Hyperlink">
    <w:name w:val="Hyperlink"/>
    <w:basedOn w:val="DefaultParagraphFont"/>
    <w:uiPriority w:val="99"/>
    <w:unhideWhenUsed/>
    <w:rsid w:val="00A94B7E"/>
    <w:rPr>
      <w:color w:val="467886" w:themeColor="hyperlink"/>
      <w:u w:val="single"/>
    </w:rPr>
  </w:style>
  <w:style w:type="paragraph" w:styleId="Header">
    <w:name w:val="header"/>
    <w:basedOn w:val="Normal"/>
    <w:link w:val="HeaderChar"/>
    <w:uiPriority w:val="99"/>
    <w:unhideWhenUsed/>
    <w:rsid w:val="00A94B7E"/>
    <w:pPr>
      <w:tabs>
        <w:tab w:val="center" w:pos="4986"/>
        <w:tab w:val="right" w:pos="9972"/>
      </w:tabs>
      <w:spacing w:after="0" w:line="240" w:lineRule="auto"/>
    </w:pPr>
  </w:style>
  <w:style w:type="character" w:customStyle="1" w:styleId="HeaderChar">
    <w:name w:val="Header Char"/>
    <w:basedOn w:val="DefaultParagraphFont"/>
    <w:link w:val="Header"/>
    <w:uiPriority w:val="99"/>
    <w:rsid w:val="00A94B7E"/>
  </w:style>
  <w:style w:type="paragraph" w:styleId="Footer">
    <w:name w:val="footer"/>
    <w:basedOn w:val="Normal"/>
    <w:link w:val="FooterChar"/>
    <w:uiPriority w:val="99"/>
    <w:unhideWhenUsed/>
    <w:rsid w:val="00A94B7E"/>
    <w:pPr>
      <w:tabs>
        <w:tab w:val="center" w:pos="4986"/>
        <w:tab w:val="right" w:pos="9972"/>
      </w:tabs>
      <w:spacing w:after="0" w:line="240" w:lineRule="auto"/>
    </w:pPr>
  </w:style>
  <w:style w:type="character" w:customStyle="1" w:styleId="FooterChar">
    <w:name w:val="Footer Char"/>
    <w:basedOn w:val="DefaultParagraphFont"/>
    <w:link w:val="Footer"/>
    <w:uiPriority w:val="99"/>
    <w:rsid w:val="00A94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75459">
      <w:bodyDiv w:val="1"/>
      <w:marLeft w:val="0"/>
      <w:marRight w:val="0"/>
      <w:marTop w:val="0"/>
      <w:marBottom w:val="0"/>
      <w:divBdr>
        <w:top w:val="none" w:sz="0" w:space="0" w:color="auto"/>
        <w:left w:val="none" w:sz="0" w:space="0" w:color="auto"/>
        <w:bottom w:val="none" w:sz="0" w:space="0" w:color="auto"/>
        <w:right w:val="none" w:sz="0" w:space="0" w:color="auto"/>
      </w:divBdr>
      <w:divsChild>
        <w:div w:id="1888224116">
          <w:marLeft w:val="0"/>
          <w:marRight w:val="0"/>
          <w:marTop w:val="0"/>
          <w:marBottom w:val="0"/>
          <w:divBdr>
            <w:top w:val="none" w:sz="0" w:space="0" w:color="auto"/>
            <w:left w:val="none" w:sz="0" w:space="0" w:color="auto"/>
            <w:bottom w:val="none" w:sz="0" w:space="0" w:color="auto"/>
            <w:right w:val="none" w:sz="0" w:space="0" w:color="auto"/>
          </w:divBdr>
          <w:divsChild>
            <w:div w:id="1869952994">
              <w:marLeft w:val="0"/>
              <w:marRight w:val="0"/>
              <w:marTop w:val="0"/>
              <w:marBottom w:val="0"/>
              <w:divBdr>
                <w:top w:val="none" w:sz="0" w:space="0" w:color="auto"/>
                <w:left w:val="none" w:sz="0" w:space="0" w:color="auto"/>
                <w:bottom w:val="none" w:sz="0" w:space="0" w:color="auto"/>
                <w:right w:val="none" w:sz="0" w:space="0" w:color="auto"/>
              </w:divBdr>
            </w:div>
          </w:divsChild>
        </w:div>
        <w:div w:id="1900092091">
          <w:marLeft w:val="0"/>
          <w:marRight w:val="0"/>
          <w:marTop w:val="0"/>
          <w:marBottom w:val="0"/>
          <w:divBdr>
            <w:top w:val="none" w:sz="0" w:space="0" w:color="auto"/>
            <w:left w:val="none" w:sz="0" w:space="0" w:color="auto"/>
            <w:bottom w:val="none" w:sz="0" w:space="0" w:color="auto"/>
            <w:right w:val="none" w:sz="0" w:space="0" w:color="auto"/>
          </w:divBdr>
          <w:divsChild>
            <w:div w:id="651178574">
              <w:marLeft w:val="0"/>
              <w:marRight w:val="0"/>
              <w:marTop w:val="0"/>
              <w:marBottom w:val="0"/>
              <w:divBdr>
                <w:top w:val="none" w:sz="0" w:space="0" w:color="auto"/>
                <w:left w:val="none" w:sz="0" w:space="0" w:color="auto"/>
                <w:bottom w:val="none" w:sz="0" w:space="0" w:color="auto"/>
                <w:right w:val="none" w:sz="0" w:space="0" w:color="auto"/>
              </w:divBdr>
            </w:div>
          </w:divsChild>
        </w:div>
        <w:div w:id="1512377661">
          <w:marLeft w:val="0"/>
          <w:marRight w:val="0"/>
          <w:marTop w:val="0"/>
          <w:marBottom w:val="0"/>
          <w:divBdr>
            <w:top w:val="none" w:sz="0" w:space="0" w:color="auto"/>
            <w:left w:val="none" w:sz="0" w:space="0" w:color="auto"/>
            <w:bottom w:val="none" w:sz="0" w:space="0" w:color="auto"/>
            <w:right w:val="none" w:sz="0" w:space="0" w:color="auto"/>
          </w:divBdr>
          <w:divsChild>
            <w:div w:id="23751880">
              <w:marLeft w:val="0"/>
              <w:marRight w:val="0"/>
              <w:marTop w:val="0"/>
              <w:marBottom w:val="0"/>
              <w:divBdr>
                <w:top w:val="none" w:sz="0" w:space="0" w:color="auto"/>
                <w:left w:val="none" w:sz="0" w:space="0" w:color="auto"/>
                <w:bottom w:val="none" w:sz="0" w:space="0" w:color="auto"/>
                <w:right w:val="none" w:sz="0" w:space="0" w:color="auto"/>
              </w:divBdr>
            </w:div>
          </w:divsChild>
        </w:div>
        <w:div w:id="216824018">
          <w:marLeft w:val="0"/>
          <w:marRight w:val="0"/>
          <w:marTop w:val="0"/>
          <w:marBottom w:val="0"/>
          <w:divBdr>
            <w:top w:val="none" w:sz="0" w:space="0" w:color="auto"/>
            <w:left w:val="none" w:sz="0" w:space="0" w:color="auto"/>
            <w:bottom w:val="none" w:sz="0" w:space="0" w:color="auto"/>
            <w:right w:val="none" w:sz="0" w:space="0" w:color="auto"/>
          </w:divBdr>
          <w:divsChild>
            <w:div w:id="14115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752">
      <w:bodyDiv w:val="1"/>
      <w:marLeft w:val="0"/>
      <w:marRight w:val="0"/>
      <w:marTop w:val="0"/>
      <w:marBottom w:val="0"/>
      <w:divBdr>
        <w:top w:val="none" w:sz="0" w:space="0" w:color="auto"/>
        <w:left w:val="none" w:sz="0" w:space="0" w:color="auto"/>
        <w:bottom w:val="none" w:sz="0" w:space="0" w:color="auto"/>
        <w:right w:val="none" w:sz="0" w:space="0" w:color="auto"/>
      </w:divBdr>
      <w:divsChild>
        <w:div w:id="41755833">
          <w:marLeft w:val="0"/>
          <w:marRight w:val="0"/>
          <w:marTop w:val="0"/>
          <w:marBottom w:val="0"/>
          <w:divBdr>
            <w:top w:val="none" w:sz="0" w:space="0" w:color="auto"/>
            <w:left w:val="none" w:sz="0" w:space="0" w:color="auto"/>
            <w:bottom w:val="none" w:sz="0" w:space="0" w:color="auto"/>
            <w:right w:val="none" w:sz="0" w:space="0" w:color="auto"/>
          </w:divBdr>
          <w:divsChild>
            <w:div w:id="1856530816">
              <w:marLeft w:val="0"/>
              <w:marRight w:val="0"/>
              <w:marTop w:val="0"/>
              <w:marBottom w:val="0"/>
              <w:divBdr>
                <w:top w:val="none" w:sz="0" w:space="0" w:color="auto"/>
                <w:left w:val="none" w:sz="0" w:space="0" w:color="auto"/>
                <w:bottom w:val="none" w:sz="0" w:space="0" w:color="auto"/>
                <w:right w:val="none" w:sz="0" w:space="0" w:color="auto"/>
              </w:divBdr>
            </w:div>
          </w:divsChild>
        </w:div>
        <w:div w:id="1881162495">
          <w:marLeft w:val="0"/>
          <w:marRight w:val="0"/>
          <w:marTop w:val="0"/>
          <w:marBottom w:val="0"/>
          <w:divBdr>
            <w:top w:val="none" w:sz="0" w:space="0" w:color="auto"/>
            <w:left w:val="none" w:sz="0" w:space="0" w:color="auto"/>
            <w:bottom w:val="none" w:sz="0" w:space="0" w:color="auto"/>
            <w:right w:val="none" w:sz="0" w:space="0" w:color="auto"/>
          </w:divBdr>
          <w:divsChild>
            <w:div w:id="23942937">
              <w:marLeft w:val="0"/>
              <w:marRight w:val="0"/>
              <w:marTop w:val="0"/>
              <w:marBottom w:val="0"/>
              <w:divBdr>
                <w:top w:val="none" w:sz="0" w:space="0" w:color="auto"/>
                <w:left w:val="none" w:sz="0" w:space="0" w:color="auto"/>
                <w:bottom w:val="none" w:sz="0" w:space="0" w:color="auto"/>
                <w:right w:val="none" w:sz="0" w:space="0" w:color="auto"/>
              </w:divBdr>
            </w:div>
          </w:divsChild>
        </w:div>
        <w:div w:id="1921065241">
          <w:marLeft w:val="0"/>
          <w:marRight w:val="0"/>
          <w:marTop w:val="0"/>
          <w:marBottom w:val="0"/>
          <w:divBdr>
            <w:top w:val="none" w:sz="0" w:space="0" w:color="auto"/>
            <w:left w:val="none" w:sz="0" w:space="0" w:color="auto"/>
            <w:bottom w:val="none" w:sz="0" w:space="0" w:color="auto"/>
            <w:right w:val="none" w:sz="0" w:space="0" w:color="auto"/>
          </w:divBdr>
          <w:divsChild>
            <w:div w:id="1956861517">
              <w:marLeft w:val="0"/>
              <w:marRight w:val="0"/>
              <w:marTop w:val="0"/>
              <w:marBottom w:val="0"/>
              <w:divBdr>
                <w:top w:val="none" w:sz="0" w:space="0" w:color="auto"/>
                <w:left w:val="none" w:sz="0" w:space="0" w:color="auto"/>
                <w:bottom w:val="none" w:sz="0" w:space="0" w:color="auto"/>
                <w:right w:val="none" w:sz="0" w:space="0" w:color="auto"/>
              </w:divBdr>
            </w:div>
          </w:divsChild>
        </w:div>
        <w:div w:id="141653283">
          <w:marLeft w:val="0"/>
          <w:marRight w:val="0"/>
          <w:marTop w:val="0"/>
          <w:marBottom w:val="0"/>
          <w:divBdr>
            <w:top w:val="none" w:sz="0" w:space="0" w:color="auto"/>
            <w:left w:val="none" w:sz="0" w:space="0" w:color="auto"/>
            <w:bottom w:val="none" w:sz="0" w:space="0" w:color="auto"/>
            <w:right w:val="none" w:sz="0" w:space="0" w:color="auto"/>
          </w:divBdr>
          <w:divsChild>
            <w:div w:id="118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7F58-F4C9-4E55-8A07-D7F89ABBF30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6</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Minella</dc:creator>
  <cp:keywords/>
  <dc:description/>
  <cp:lastModifiedBy>Mauro Minella</cp:lastModifiedBy>
  <cp:revision>2</cp:revision>
  <dcterms:created xsi:type="dcterms:W3CDTF">2024-11-17T16:20:00Z</dcterms:created>
  <dcterms:modified xsi:type="dcterms:W3CDTF">2024-11-18T06:34:00Z</dcterms:modified>
</cp:coreProperties>
</file>