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0F6E56"/>
          <w:sz w:val="64"/>
          <w:szCs w:val="64"/>
        </w:rPr>
        <w:t xml:space="preserve">BlockProp</w:t>
      </w:r>
    </w:p>
    <w:p>
      <w:pPr>
        <w:spacing w:after="120"/>
        <w:jc w:val="center"/>
      </w:pPr>
      <w:r>
        <w:rPr>
          <w:rFonts w:ascii="Arial" w:cs="Arial" w:eastAsia="Arial" w:hAnsi="Arial"/>
          <w:color w:val="5F5E5A"/>
          <w:sz w:val="26"/>
          <w:szCs w:val="26"/>
        </w:rPr>
        <w:t xml:space="preserve">Plataforma SaaS de gestión de alquileres con anclaje en blockchain</w:t>
      </w:r>
    </w:p>
    <w:p>
      <w:pPr>
        <w:spacing w:after="600"/>
        <w:jc w:val="center"/>
      </w:pPr>
      <w:r>
        <w:rPr>
          <w:rFonts w:ascii="Arial" w:cs="Arial" w:eastAsia="Arial" w:hAnsi="Arial"/>
          <w:i/>
          <w:iCs/>
          <w:color w:val="5F5E5A"/>
          <w:sz w:val="22"/>
          <w:szCs w:val="22"/>
        </w:rPr>
        <w:t xml:space="preserve">Memoria Técnica · Hackathon T. de Comp II · Universidad Champagnat</w:t>
      </w:r>
    </w:p>
    <w:p>
      <w:pPr>
        <w:spacing w:after="80"/>
        <w:jc w:val="center"/>
      </w:pPr>
      <w:r>
        <w:rPr>
          <w:rFonts w:ascii="Arial" w:cs="Arial" w:eastAsia="Arial" w:hAnsi="Arial"/>
          <w:b/>
          <w:bCs/>
          <w:sz w:val="22"/>
          <w:szCs w:val="22"/>
        </w:rPr>
        <w:t xml:space="preserve">Equipo</w:t>
      </w:r>
    </w:p>
    <w:p>
      <w:pPr>
        <w:spacing w:after="60"/>
        <w:jc w:val="center"/>
      </w:pPr>
      <w:r>
        <w:rPr>
          <w:rFonts w:ascii="Arial" w:cs="Arial" w:eastAsia="Arial" w:hAnsi="Arial"/>
          <w:sz w:val="22"/>
          <w:szCs w:val="22"/>
        </w:rPr>
        <w:t xml:space="preserve">Fabrizio Tacchi</w:t>
      </w:r>
    </w:p>
    <w:p>
      <w:pPr>
        <w:spacing w:after="60"/>
        <w:jc w:val="center"/>
      </w:pPr>
      <w:r>
        <w:rPr>
          <w:rFonts w:ascii="Arial" w:cs="Arial" w:eastAsia="Arial" w:hAnsi="Arial"/>
          <w:sz w:val="22"/>
          <w:szCs w:val="22"/>
        </w:rPr>
        <w:t xml:space="preserve">Santiago Quintana</w:t>
      </w:r>
    </w:p>
    <w:p>
      <w:pPr>
        <w:spacing w:after="60"/>
        <w:jc w:val="center"/>
      </w:pPr>
      <w:r>
        <w:rPr>
          <w:rFonts w:ascii="Arial" w:cs="Arial" w:eastAsia="Arial" w:hAnsi="Arial"/>
          <w:sz w:val="22"/>
          <w:szCs w:val="22"/>
        </w:rPr>
        <w:t xml:space="preserve">Mauricio Spirilis</w:t>
      </w:r>
    </w:p>
    <w:p>
      <w:pPr>
        <w:spacing w:after="60"/>
        <w:jc w:val="center"/>
      </w:pPr>
      <w:r>
        <w:rPr>
          <w:rFonts w:ascii="Arial" w:cs="Arial" w:eastAsia="Arial" w:hAnsi="Arial"/>
          <w:sz w:val="22"/>
          <w:szCs w:val="22"/>
        </w:rPr>
        <w:t xml:space="preserve">Facundo Uria</w:t>
      </w:r>
    </w:p>
    <w:p>
      <w:pPr>
        <w:spacing w:after="80" w:before="200"/>
        <w:jc w:val="center"/>
      </w:pPr>
      <w:r>
        <w:rPr>
          <w:rFonts w:ascii="Arial" w:cs="Arial" w:eastAsia="Arial" w:hAnsi="Arial"/>
          <w:sz w:val="22"/>
          <w:szCs w:val="22"/>
        </w:rPr>
        <w:t xml:space="preserve">Repositorio: </w:t>
      </w:r>
      <w:hyperlink w:history="1" r:id="rIdheed-bdrkyps0z5iv9-e_">
        <w:r>
          <w:rPr>
            <w:rStyle w:val="Hyperlink"/>
            <w:rFonts w:ascii="Arial" w:cs="Arial" w:eastAsia="Arial" w:hAnsi="Arial"/>
            <w:sz w:val="22"/>
            <w:szCs w:val="22"/>
          </w:rPr>
          <w:t xml:space="preserve">github.com/maurspi/block-prop</w:t>
        </w:r>
      </w:hyperlink>
    </w:p>
    <w:p>
      <w:pPr>
        <w:pStyle w:val="Heading1"/>
        <w:pageBreakBefore/>
        <w:spacing w:after="160" w:before="0"/>
      </w:pPr>
      <w:r>
        <w:rPr>
          <w:rFonts w:ascii="Arial" w:cs="Arial" w:eastAsia="Arial" w:hAnsi="Arial"/>
        </w:rPr>
        <w:t xml:space="preserve">1. Problema y oportunidad</w:t>
      </w:r>
    </w:p>
    <w:p>
      <w:pPr>
        <w:pStyle w:val="Heading2"/>
        <w:spacing w:after="100" w:before="200"/>
      </w:pPr>
      <w:r>
        <w:rPr>
          <w:rFonts w:ascii="Arial" w:cs="Arial" w:eastAsia="Arial" w:hAnsi="Arial"/>
        </w:rPr>
        <w:t xml:space="preserve">Problema identificado</w:t>
      </w:r>
    </w:p>
    <w:p>
      <w:pPr>
        <w:spacing w:after="140" w:line="280"/>
      </w:pPr>
      <w:r>
        <w:rPr>
          <w:rFonts w:ascii="Arial" w:cs="Arial" w:eastAsia="Arial" w:hAnsi="Arial"/>
          <w:sz w:val="22"/>
          <w:szCs w:val="22"/>
        </w:rPr>
        <w:t xml:space="preserve">El mercado de alquileres residenciales en Argentina opera sobre una base de desconfianza estructural entre sus actores. Inquilinos, inmobiliarias y propietarios interactúan a través de contratos en papel, transferencias bancarias no integradas al sistema de gestión y registros que cada parte mantiene por separado y de forma unilateral.</w:t>
      </w:r>
    </w:p>
    <w:p>
      <w:pPr>
        <w:spacing w:after="140" w:line="280"/>
      </w:pPr>
      <w:r>
        <w:rPr>
          <w:rFonts w:ascii="Arial" w:cs="Arial" w:eastAsia="Arial" w:hAnsi="Arial"/>
          <w:sz w:val="22"/>
          <w:szCs w:val="22"/>
        </w:rPr>
        <w:t xml:space="preserve">Esto genera tres problemas concretos:</w:t>
      </w:r>
    </w:p>
    <w:p>
      <w:pPr>
        <w:pStyle w:val="ListParagraph"/>
        <w:numPr>
          <w:ilvl w:val="0"/>
          <w:numId w:val="2"/>
        </w:numPr>
        <w:spacing w:after="80" w:line="280"/>
      </w:pPr>
      <w:r>
        <w:rPr>
          <w:rFonts w:ascii="Arial" w:cs="Arial" w:eastAsia="Arial" w:hAnsi="Arial"/>
          <w:b/>
          <w:bCs/>
          <w:sz w:val="22"/>
          <w:szCs w:val="22"/>
        </w:rPr>
        <w:t xml:space="preserve">Opacidad en los pagos: </w:t>
      </w:r>
      <w:r>
        <w:rPr>
          <w:rFonts w:ascii="Arial" w:cs="Arial" w:eastAsia="Arial" w:hAnsi="Arial"/>
          <w:sz w:val="22"/>
          <w:szCs w:val="22"/>
        </w:rPr>
        <w:t xml:space="preserve">la inmobiliaria confirma el pago de forma manual, sin trazabilidad automática ni registro verificable para el inquilino.</w:t>
      </w:r>
    </w:p>
    <w:p>
      <w:pPr>
        <w:pStyle w:val="ListParagraph"/>
        <w:numPr>
          <w:ilvl w:val="0"/>
          <w:numId w:val="2"/>
        </w:numPr>
        <w:spacing w:after="80" w:line="280"/>
      </w:pPr>
      <w:r>
        <w:rPr>
          <w:rFonts w:ascii="Arial" w:cs="Arial" w:eastAsia="Arial" w:hAnsi="Arial"/>
          <w:b/>
          <w:bCs/>
          <w:sz w:val="22"/>
          <w:szCs w:val="22"/>
        </w:rPr>
        <w:t xml:space="preserve">Contratos alterables: </w:t>
      </w:r>
      <w:r>
        <w:rPr>
          <w:rFonts w:ascii="Arial" w:cs="Arial" w:eastAsia="Arial" w:hAnsi="Arial"/>
          <w:sz w:val="22"/>
          <w:szCs w:val="22"/>
        </w:rPr>
        <w:t xml:space="preserve">las condiciones pactadas (monto, ajuste, plazo) no tienen un registro inmutable al que ambas partes puedan recurrir en caso de disputa.</w:t>
      </w:r>
    </w:p>
    <w:p>
      <w:pPr>
        <w:pStyle w:val="ListParagraph"/>
        <w:numPr>
          <w:ilvl w:val="0"/>
          <w:numId w:val="2"/>
        </w:numPr>
        <w:spacing w:after="80" w:line="280"/>
      </w:pPr>
      <w:r>
        <w:rPr>
          <w:rFonts w:ascii="Arial" w:cs="Arial" w:eastAsia="Arial" w:hAnsi="Arial"/>
          <w:b/>
          <w:bCs/>
          <w:sz w:val="22"/>
          <w:szCs w:val="22"/>
        </w:rPr>
        <w:t xml:space="preserve">Historial de inquilinos opaco y manipulable: </w:t>
      </w:r>
      <w:r>
        <w:rPr>
          <w:rFonts w:ascii="Arial" w:cs="Arial" w:eastAsia="Arial" w:hAnsi="Arial"/>
          <w:sz w:val="22"/>
          <w:szCs w:val="22"/>
        </w:rPr>
        <w:t xml:space="preserve">cuando un inquilino cambia de propiedad o de inmobiliaria, su historial de cumplimiento no lo acompaña. La nueva inmobiliaria no tiene forma de verificar su comportamiento anterior sin depender de la palabra de la anterior.</w:t>
      </w:r>
    </w:p>
    <w:p>
      <w:pPr>
        <w:pStyle w:val="Heading2"/>
        <w:spacing w:after="100" w:before="200"/>
      </w:pPr>
      <w:r>
        <w:rPr>
          <w:rFonts w:ascii="Arial" w:cs="Arial" w:eastAsia="Arial" w:hAnsi="Arial"/>
        </w:rPr>
        <w:t xml:space="preserve">Usuarios afectados</w:t>
      </w:r>
    </w:p>
    <w:p>
      <w:pPr>
        <w:pStyle w:val="ListParagraph"/>
        <w:numPr>
          <w:ilvl w:val="0"/>
          <w:numId w:val="2"/>
        </w:numPr>
        <w:spacing w:after="80" w:line="280"/>
      </w:pPr>
      <w:r>
        <w:rPr>
          <w:rFonts w:ascii="Arial" w:cs="Arial" w:eastAsia="Arial" w:hAnsi="Arial"/>
          <w:sz w:val="22"/>
          <w:szCs w:val="22"/>
        </w:rPr>
        <w:t xml:space="preserve">Inquilinos: sin acceso transparente a sus propios registros de pago ni a una reputación portable.</w:t>
      </w:r>
    </w:p>
    <w:p>
      <w:pPr>
        <w:pStyle w:val="ListParagraph"/>
        <w:numPr>
          <w:ilvl w:val="0"/>
          <w:numId w:val="2"/>
        </w:numPr>
        <w:spacing w:after="80" w:line="280"/>
      </w:pPr>
      <w:r>
        <w:rPr>
          <w:rFonts w:ascii="Arial" w:cs="Arial" w:eastAsia="Arial" w:hAnsi="Arial"/>
          <w:sz w:val="22"/>
          <w:szCs w:val="22"/>
        </w:rPr>
        <w:t xml:space="preserve">Inmobiliarias: alta carga administrativa en el seguimiento de pagos, vencimientos y notificaciones de mora.</w:t>
      </w:r>
    </w:p>
    <w:p>
      <w:pPr>
        <w:pStyle w:val="ListParagraph"/>
        <w:numPr>
          <w:ilvl w:val="0"/>
          <w:numId w:val="2"/>
        </w:numPr>
        <w:spacing w:after="80" w:line="280"/>
      </w:pPr>
      <w:r>
        <w:rPr>
          <w:rFonts w:ascii="Arial" w:cs="Arial" w:eastAsia="Arial" w:hAnsi="Arial"/>
          <w:sz w:val="22"/>
          <w:szCs w:val="22"/>
        </w:rPr>
        <w:t xml:space="preserve">Propietarios: dependencia total de la inmobiliaria para conocer el estado de su propiedad.</w:t>
      </w:r>
    </w:p>
    <w:p>
      <w:pPr>
        <w:pStyle w:val="Heading2"/>
        <w:spacing w:after="100" w:before="200"/>
      </w:pPr>
      <w:r>
        <w:rPr>
          <w:rFonts w:ascii="Arial" w:cs="Arial" w:eastAsia="Arial" w:hAnsi="Arial"/>
        </w:rPr>
        <w:t xml:space="preserve">Validación del problema</w:t>
      </w:r>
    </w:p>
    <w:p>
      <w:pPr>
        <w:spacing w:after="140" w:line="280"/>
      </w:pPr>
      <w:r>
        <w:rPr>
          <w:rFonts w:ascii="Arial" w:cs="Arial" w:eastAsia="Arial" w:hAnsi="Arial"/>
          <w:sz w:val="22"/>
          <w:szCs w:val="22"/>
        </w:rPr>
        <w:t xml:space="preserve">La validación del problema surge de experiencias directas de los integrantes del equipo y su entorno cercano. Facundo Uria atravesó personalmente situaciones de conflicto relacionadas con el mercado inmobiliario que evidenciaron la falta de trazabilidad y la asimetría de información entre las partes. Otros integrantes relevaron experiencias similares en sus familias y círculos cercanos, identificando como puntos de fricción recurrentes la falta de comprobantes verificables, los aumentos disputados y la ausencia de historial de cumplimiento portable.</w:t>
      </w:r>
    </w:p>
    <w:p>
      <w:pPr>
        <w:spacing w:after="140" w:line="280"/>
      </w:pPr>
      <w:r>
        <w:rPr>
          <w:rFonts w:ascii="Arial" w:cs="Arial" w:eastAsia="Arial" w:hAnsi="Arial"/>
          <w:sz w:val="22"/>
          <w:szCs w:val="22"/>
        </w:rPr>
        <w:t xml:space="preserve">Si bien no se realizaron entrevistas formales con inmobiliarias, el problema está documentado en el contexto argentino: la Ley 27.551 de Alquileres y sus sucesivas reformas son evidencia legislativa de la conflictividad estructural del sector.</w:t>
      </w:r>
    </w:p>
    <w:p>
      <w:pPr>
        <w:pStyle w:val="Heading1"/>
        <w:pageBreakBefore/>
        <w:spacing w:after="160" w:before="0"/>
      </w:pPr>
      <w:r>
        <w:rPr>
          <w:rFonts w:ascii="Arial" w:cs="Arial" w:eastAsia="Arial" w:hAnsi="Arial"/>
        </w:rPr>
        <w:t xml:space="preserve">2. Solución propuesta</w:t>
      </w:r>
    </w:p>
    <w:p>
      <w:pPr>
        <w:spacing w:after="140" w:line="280"/>
      </w:pPr>
      <w:r>
        <w:rPr>
          <w:rFonts w:ascii="Arial" w:cs="Arial" w:eastAsia="Arial" w:hAnsi="Arial"/>
          <w:sz w:val="22"/>
          <w:szCs w:val="22"/>
        </w:rPr>
        <w:t xml:space="preserve">BlockProp es una plataforma SaaS centralizada que gestiona el ciclo de vida completo de los contratos de alquiler y ancla los datos críticos de ese ciclo en una blockchain, garantizando su inmutabilidad, trazabilidad y portabilidad.</w:t>
      </w:r>
    </w:p>
    <w:p>
      <w:pPr>
        <w:pStyle w:val="Heading2"/>
        <w:spacing w:after="100" w:before="200"/>
      </w:pPr>
      <w:r>
        <w:rPr>
          <w:rFonts w:ascii="Arial" w:cs="Arial" w:eastAsia="Arial" w:hAnsi="Arial"/>
        </w:rPr>
        <w:t xml:space="preserve">Funcionamiento general</w:t>
      </w:r>
    </w:p>
    <w:p>
      <w:pPr>
        <w:pStyle w:val="ListParagraph"/>
        <w:numPr>
          <w:ilvl w:val="0"/>
          <w:numId w:val="3"/>
        </w:numPr>
        <w:spacing w:after="80" w:line="280"/>
      </w:pPr>
      <w:r>
        <w:rPr>
          <w:rFonts w:ascii="Arial" w:cs="Arial" w:eastAsia="Arial" w:hAnsi="Arial"/>
          <w:b/>
          <w:bCs/>
          <w:sz w:val="22"/>
          <w:szCs w:val="22"/>
        </w:rPr>
        <w:t xml:space="preserve">Generación: </w:t>
      </w:r>
      <w:r>
        <w:rPr>
          <w:rFonts w:ascii="Arial" w:cs="Arial" w:eastAsia="Arial" w:hAnsi="Arial"/>
          <w:sz w:val="22"/>
          <w:szCs w:val="22"/>
        </w:rPr>
        <w:t xml:space="preserve">La inmobiliaria genera el contrato de forma automatizada con las condiciones acordadas por las tres partes.</w:t>
      </w:r>
    </w:p>
    <w:p>
      <w:pPr>
        <w:pStyle w:val="ListParagraph"/>
        <w:numPr>
          <w:ilvl w:val="0"/>
          <w:numId w:val="3"/>
        </w:numPr>
        <w:spacing w:after="80" w:line="280"/>
      </w:pPr>
      <w:r>
        <w:rPr>
          <w:rFonts w:ascii="Arial" w:cs="Arial" w:eastAsia="Arial" w:hAnsi="Arial"/>
          <w:b/>
          <w:bCs/>
          <w:sz w:val="22"/>
          <w:szCs w:val="22"/>
        </w:rPr>
        <w:t xml:space="preserve">Firma: </w:t>
      </w:r>
      <w:r>
        <w:rPr>
          <w:rFonts w:ascii="Arial" w:cs="Arial" w:eastAsia="Arial" w:hAnsi="Arial"/>
          <w:sz w:val="22"/>
          <w:szCs w:val="22"/>
        </w:rPr>
        <w:t xml:space="preserve">Las tres partes firman digitalmente. El documento vive en el servidor de la plataforma (off-chain); su huella criptográfica (hash SHA-256) se registra en la blockchain.</w:t>
      </w:r>
    </w:p>
    <w:p>
      <w:pPr>
        <w:pStyle w:val="ListParagraph"/>
        <w:numPr>
          <w:ilvl w:val="0"/>
          <w:numId w:val="3"/>
        </w:numPr>
        <w:spacing w:after="80" w:line="280"/>
      </w:pPr>
      <w:r>
        <w:rPr>
          <w:rFonts w:ascii="Arial" w:cs="Arial" w:eastAsia="Arial" w:hAnsi="Arial"/>
          <w:b/>
          <w:bCs/>
          <w:sz w:val="22"/>
          <w:szCs w:val="22"/>
        </w:rPr>
        <w:t xml:space="preserve">Pagos: </w:t>
      </w:r>
      <w:r>
        <w:rPr>
          <w:rFonts w:ascii="Arial" w:cs="Arial" w:eastAsia="Arial" w:hAnsi="Arial"/>
          <w:sz w:val="22"/>
          <w:szCs w:val="22"/>
        </w:rPr>
        <w:t xml:space="preserve">Durante la vigencia del contrato, cada pago se confirma automáticamente via pasarela de pago. El comprobante se almacena off-chain y su hash se registra on-chain junto al estado del pago.</w:t>
      </w:r>
    </w:p>
    <w:p>
      <w:pPr>
        <w:pStyle w:val="ListParagraph"/>
        <w:numPr>
          <w:ilvl w:val="0"/>
          <w:numId w:val="3"/>
        </w:numPr>
        <w:spacing w:after="80" w:line="280"/>
      </w:pPr>
      <w:r>
        <w:rPr>
          <w:rFonts w:ascii="Arial" w:cs="Arial" w:eastAsia="Arial" w:hAnsi="Arial"/>
          <w:b/>
          <w:bCs/>
          <w:sz w:val="22"/>
          <w:szCs w:val="22"/>
        </w:rPr>
        <w:t xml:space="preserve">Incidentes: </w:t>
      </w:r>
      <w:r>
        <w:rPr>
          <w:rFonts w:ascii="Arial" w:cs="Arial" w:eastAsia="Arial" w:hAnsi="Arial"/>
          <w:sz w:val="22"/>
          <w:szCs w:val="22"/>
        </w:rPr>
        <w:t xml:space="preserve">Incidentes reportados por cualquiera de las partes y disputas quedan registrados on-chain con timestamp inmutable.</w:t>
      </w:r>
    </w:p>
    <w:p>
      <w:pPr>
        <w:pStyle w:val="ListParagraph"/>
        <w:numPr>
          <w:ilvl w:val="0"/>
          <w:numId w:val="3"/>
        </w:numPr>
        <w:spacing w:after="80" w:line="280"/>
      </w:pPr>
      <w:r>
        <w:rPr>
          <w:rFonts w:ascii="Arial" w:cs="Arial" w:eastAsia="Arial" w:hAnsi="Arial"/>
          <w:b/>
          <w:bCs/>
          <w:sz w:val="22"/>
          <w:szCs w:val="22"/>
        </w:rPr>
        <w:t xml:space="preserve">Reputación: </w:t>
      </w:r>
      <w:r>
        <w:rPr>
          <w:rFonts w:ascii="Arial" w:cs="Arial" w:eastAsia="Arial" w:hAnsi="Arial"/>
          <w:sz w:val="22"/>
          <w:szCs w:val="22"/>
        </w:rPr>
        <w:t xml:space="preserve">Al finalizar, el inquilino conserva una identidad seudónima on-chain con su historial de cumplimiento, portable a futuros alquileres en cualquier inmobiliaria que use la plataforma.</w:t>
      </w:r>
    </w:p>
    <w:p>
      <w:pPr>
        <w:pStyle w:val="Heading2"/>
        <w:spacing w:after="100" w:before="200"/>
      </w:pPr>
      <w:r>
        <w:rPr>
          <w:rFonts w:ascii="Arial" w:cs="Arial" w:eastAsia="Arial" w:hAnsi="Arial"/>
        </w:rPr>
        <w:t xml:space="preserve">Diferencias respecto a soluciones existentes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00"/>
        <w:gridCol w:w="2580"/>
        <w:gridCol w:w="2580"/>
      </w:tblGrid>
      <w:tr>
        <w:trPr>
          <w:tblHeader/>
        </w:trPr>
        <w:tc>
          <w:tcPr>
            <w:tcW w:type="dxa" w:w="3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Característica</w:t>
            </w:r>
          </w:p>
        </w:tc>
        <w:tc>
          <w:tcPr>
            <w:tcW w:type="dxa" w:w="258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Gestión tradicional</w:t>
            </w:r>
          </w:p>
        </w:tc>
        <w:tc>
          <w:tcPr>
            <w:tcW w:type="dxa" w:w="258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BlockProp</w:t>
            </w:r>
          </w:p>
        </w:tc>
      </w:tr>
      <w:tr>
        <w:tc>
          <w:tcPr>
            <w:tcW w:type="dxa" w:w="3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sz w:val="20"/>
                <w:szCs w:val="20"/>
              </w:rPr>
              <w:t xml:space="preserve">Registro de pagos</w:t>
            </w:r>
          </w:p>
        </w:tc>
        <w:tc>
          <w:tcPr>
            <w:tcW w:type="dxa" w:w="25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sz w:val="20"/>
                <w:szCs w:val="20"/>
              </w:rPr>
              <w:t xml:space="preserve">Manual, unilateral</w:t>
            </w:r>
          </w:p>
        </w:tc>
        <w:tc>
          <w:tcPr>
            <w:tcW w:type="dxa" w:w="25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sz w:val="20"/>
                <w:szCs w:val="20"/>
              </w:rPr>
              <w:t xml:space="preserve">Automático, on-chain, verificable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Integridad del contrato</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PDF editable, sin prueba</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Hash on-chain, inalterable</w:t>
            </w:r>
          </w:p>
        </w:tc>
      </w:tr>
      <w:tr>
        <w:tc>
          <w:tcPr>
            <w:tcW w:type="dxa" w:w="3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sz w:val="20"/>
                <w:szCs w:val="20"/>
              </w:rPr>
              <w:t xml:space="preserve">Historial del inquilino</w:t>
            </w:r>
          </w:p>
        </w:tc>
        <w:tc>
          <w:tcPr>
            <w:tcW w:type="dxa" w:w="25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sz w:val="20"/>
                <w:szCs w:val="20"/>
              </w:rPr>
              <w:t xml:space="preserve">No existe o lo controla la inmobiliaria</w:t>
            </w:r>
          </w:p>
        </w:tc>
        <w:tc>
          <w:tcPr>
            <w:tcW w:type="dxa" w:w="25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sz w:val="20"/>
                <w:szCs w:val="20"/>
              </w:rPr>
              <w:t xml:space="preserve">Portable, seudónimo, verificable por terceros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Notificaciones de mora</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Manual o no existe</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Automática al vencer el plazo</w:t>
            </w:r>
          </w:p>
        </w:tc>
      </w:tr>
      <w:tr>
        <w:tc>
          <w:tcPr>
            <w:tcW w:type="dxa" w:w="3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sz w:val="20"/>
                <w:szCs w:val="20"/>
              </w:rPr>
              <w:t xml:space="preserve">Transparencia de ajustes</w:t>
            </w:r>
          </w:p>
        </w:tc>
        <w:tc>
          <w:tcPr>
            <w:tcW w:type="dxa" w:w="25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sz w:val="20"/>
                <w:szCs w:val="20"/>
              </w:rPr>
              <w:t xml:space="preserve">Discrecional</w:t>
            </w:r>
          </w:p>
        </w:tc>
        <w:tc>
          <w:tcPr>
            <w:tcW w:type="dxa" w:w="25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sz w:val="20"/>
                <w:szCs w:val="20"/>
              </w:rPr>
              <w:t xml:space="preserve">Fijada en el contrato, firmada por las 3 partes</w:t>
            </w:r>
          </w:p>
        </w:tc>
      </w:tr>
    </w:tbl>
    <w:p>
      <w:pPr>
        <w:pStyle w:val="Heading1"/>
        <w:pageBreakBefore/>
        <w:spacing w:after="160" w:before="0"/>
      </w:pPr>
      <w:r>
        <w:rPr>
          <w:rFonts w:ascii="Arial" w:cs="Arial" w:eastAsia="Arial" w:hAnsi="Arial"/>
        </w:rPr>
        <w:t xml:space="preserve">3. MVP desarrollado</w:t>
      </w:r>
    </w:p>
    <w:p>
      <w:pPr>
        <w:pStyle w:val="Heading2"/>
        <w:spacing w:after="100" w:before="200"/>
      </w:pPr>
      <w:r>
        <w:rPr>
          <w:rFonts w:ascii="Arial" w:cs="Arial" w:eastAsia="Arial" w:hAnsi="Arial"/>
        </w:rPr>
        <w:t xml:space="preserve">Alcance real del MVP</w:t>
      </w:r>
    </w:p>
    <w:p>
      <w:pPr>
        <w:spacing w:after="140" w:line="280"/>
      </w:pPr>
      <w:r>
        <w:rPr>
          <w:rFonts w:ascii="Arial" w:cs="Arial" w:eastAsia="Arial" w:hAnsi="Arial"/>
          <w:sz w:val="22"/>
          <w:szCs w:val="22"/>
        </w:rPr>
        <w:t xml:space="preserve">El MVP consiste en un prototipo navegable de alta fidelidad que simula el flujo completo del sistema, acompañado de la arquitectura técnica y la lógica de los contratos inteligentes documentada en Solidity. El prototipo es funcional como demostración interactiva; la integración con blockchain real (testnet) queda como siguiente etapa planificada.</w:t>
      </w:r>
    </w:p>
    <w:p>
      <w:pPr>
        <w:pStyle w:val="Heading2"/>
        <w:spacing w:after="100" w:before="200"/>
      </w:pPr>
      <w:r>
        <w:rPr>
          <w:rFonts w:ascii="Arial" w:cs="Arial" w:eastAsia="Arial" w:hAnsi="Arial"/>
        </w:rPr>
        <w:t xml:space="preserve">Funcionalidades implementadas</w:t>
      </w:r>
    </w:p>
    <w:p>
      <w:pPr>
        <w:pStyle w:val="ListParagraph"/>
        <w:numPr>
          <w:ilvl w:val="0"/>
          <w:numId w:val="2"/>
        </w:numPr>
        <w:spacing w:after="80" w:line="280"/>
      </w:pPr>
      <w:r>
        <w:rPr>
          <w:rFonts w:ascii="Arial" w:cs="Arial" w:eastAsia="Arial" w:hAnsi="Arial"/>
          <w:b/>
          <w:bCs/>
          <w:sz w:val="22"/>
          <w:szCs w:val="22"/>
        </w:rPr>
        <w:t xml:space="preserve">Vista del inquilino: </w:t>
      </w:r>
      <w:r>
        <w:rPr>
          <w:rFonts w:ascii="Arial" w:cs="Arial" w:eastAsia="Arial" w:hAnsi="Arial"/>
          <w:sz w:val="22"/>
          <w:szCs w:val="22"/>
        </w:rPr>
        <w:t xml:space="preserve">historial de pagos, visualización del contrato vigente con verificación de hash, reporte de incidentes.</w:t>
      </w:r>
    </w:p>
    <w:p>
      <w:pPr>
        <w:pStyle w:val="ListParagraph"/>
        <w:numPr>
          <w:ilvl w:val="0"/>
          <w:numId w:val="2"/>
        </w:numPr>
        <w:spacing w:after="80" w:line="280"/>
      </w:pPr>
      <w:r>
        <w:rPr>
          <w:rFonts w:ascii="Arial" w:cs="Arial" w:eastAsia="Arial" w:hAnsi="Arial"/>
          <w:b/>
          <w:bCs/>
          <w:sz w:val="22"/>
          <w:szCs w:val="22"/>
        </w:rPr>
        <w:t xml:space="preserve">Vista de la inmobiliaria: </w:t>
      </w:r>
      <w:r>
        <w:rPr>
          <w:rFonts w:ascii="Arial" w:cs="Arial" w:eastAsia="Arial" w:hAnsi="Arial"/>
          <w:sz w:val="22"/>
          <w:szCs w:val="22"/>
        </w:rPr>
        <w:t xml:space="preserve">dashboard de propiedades y estados, gestión de contratos (generación, cancelación, renovación), notificaciones de mora e incidentes.</w:t>
      </w:r>
    </w:p>
    <w:p>
      <w:pPr>
        <w:pStyle w:val="ListParagraph"/>
        <w:numPr>
          <w:ilvl w:val="0"/>
          <w:numId w:val="2"/>
        </w:numPr>
        <w:spacing w:after="80" w:line="280"/>
      </w:pPr>
      <w:r>
        <w:rPr>
          <w:rFonts w:ascii="Arial" w:cs="Arial" w:eastAsia="Arial" w:hAnsi="Arial"/>
          <w:b/>
          <w:bCs/>
          <w:sz w:val="22"/>
          <w:szCs w:val="22"/>
        </w:rPr>
        <w:t xml:space="preserve">Vista de reputación portable: </w:t>
      </w:r>
      <w:r>
        <w:rPr>
          <w:rFonts w:ascii="Arial" w:cs="Arial" w:eastAsia="Arial" w:hAnsi="Arial"/>
          <w:sz w:val="22"/>
          <w:szCs w:val="22"/>
        </w:rPr>
        <w:t xml:space="preserve">consulta del historial de cumplimiento de un postulante a través de su identidad seudónima, sin exponer datos personales.</w:t>
      </w:r>
    </w:p>
    <w:p>
      <w:pPr>
        <w:pStyle w:val="ListParagraph"/>
        <w:numPr>
          <w:ilvl w:val="0"/>
          <w:numId w:val="2"/>
        </w:numPr>
        <w:spacing w:after="80" w:line="280"/>
      </w:pPr>
      <w:r>
        <w:rPr>
          <w:rFonts w:ascii="Arial" w:cs="Arial" w:eastAsia="Arial" w:hAnsi="Arial"/>
          <w:b/>
          <w:bCs/>
          <w:sz w:val="22"/>
          <w:szCs w:val="22"/>
        </w:rPr>
        <w:t xml:space="preserve">Registro on-chain visible: </w:t>
      </w:r>
      <w:r>
        <w:rPr>
          <w:rFonts w:ascii="Arial" w:cs="Arial" w:eastAsia="Arial" w:hAnsi="Arial"/>
          <w:sz w:val="22"/>
          <w:szCs w:val="22"/>
        </w:rPr>
        <w:t xml:space="preserve">en la demo, cada acción genera un hash y simula su confirmación en un bloque, mostrando la traza de lo que ocurriría en la cadena real.</w:t>
      </w:r>
    </w:p>
    <w:p>
      <w:pPr>
        <w:pStyle w:val="ListParagraph"/>
        <w:numPr>
          <w:ilvl w:val="0"/>
          <w:numId w:val="2"/>
        </w:numPr>
        <w:spacing w:after="80" w:line="280"/>
      </w:pPr>
      <w:r>
        <w:rPr>
          <w:rFonts w:ascii="Arial" w:cs="Arial" w:eastAsia="Arial" w:hAnsi="Arial"/>
          <w:b/>
          <w:bCs/>
          <w:sz w:val="22"/>
          <w:szCs w:val="22"/>
        </w:rPr>
        <w:t xml:space="preserve">Contrato inteligente en Solidity: </w:t>
      </w:r>
      <w:r>
        <w:rPr>
          <w:rFonts w:ascii="Arial" w:cs="Arial" w:eastAsia="Arial" w:hAnsi="Arial"/>
          <w:sz w:val="22"/>
          <w:szCs w:val="22"/>
        </w:rPr>
        <w:t xml:space="preserve">lógica de ajuste de monto con propuesta de la inmobiliaria, ventana de impugnación del inquilino y aplicación automática al vencimiento de la ventana.</w:t>
      </w:r>
    </w:p>
    <w:p>
      <w:pPr>
        <w:pStyle w:val="Heading2"/>
        <w:spacing w:after="100" w:before="200"/>
      </w:pPr>
      <w:r>
        <w:rPr>
          <w:rFonts w:ascii="Arial" w:cs="Arial" w:eastAsia="Arial" w:hAnsi="Arial"/>
        </w:rPr>
        <w:t xml:space="preserve">Funcionalidades planificadas (próxima versión)</w:t>
      </w:r>
    </w:p>
    <w:p>
      <w:pPr>
        <w:pStyle w:val="ListParagraph"/>
        <w:numPr>
          <w:ilvl w:val="0"/>
          <w:numId w:val="2"/>
        </w:numPr>
        <w:spacing w:after="80" w:line="280"/>
      </w:pPr>
      <w:r>
        <w:rPr>
          <w:rFonts w:ascii="Arial" w:cs="Arial" w:eastAsia="Arial" w:hAnsi="Arial"/>
          <w:sz w:val="22"/>
          <w:szCs w:val="22"/>
        </w:rPr>
        <w:t xml:space="preserve">Despliegue real del contrato en Polygon Amoy testnet.</w:t>
      </w:r>
    </w:p>
    <w:p>
      <w:pPr>
        <w:pStyle w:val="ListParagraph"/>
        <w:numPr>
          <w:ilvl w:val="0"/>
          <w:numId w:val="2"/>
        </w:numPr>
        <w:spacing w:after="80" w:line="280"/>
      </w:pPr>
      <w:r>
        <w:rPr>
          <w:rFonts w:ascii="Arial" w:cs="Arial" w:eastAsia="Arial" w:hAnsi="Arial"/>
          <w:sz w:val="22"/>
          <w:szCs w:val="22"/>
        </w:rPr>
        <w:t xml:space="preserve">Integración con pasarela de pago (Mercado Pago o API bancaria) para confirmación automática.</w:t>
      </w:r>
    </w:p>
    <w:p>
      <w:pPr>
        <w:pStyle w:val="ListParagraph"/>
        <w:numPr>
          <w:ilvl w:val="0"/>
          <w:numId w:val="2"/>
        </w:numPr>
        <w:spacing w:after="80" w:line="280"/>
      </w:pPr>
      <w:r>
        <w:rPr>
          <w:rFonts w:ascii="Arial" w:cs="Arial" w:eastAsia="Arial" w:hAnsi="Arial"/>
          <w:sz w:val="22"/>
          <w:szCs w:val="22"/>
        </w:rPr>
        <w:t xml:space="preserve">Firma digital criptográfica de contratos por las tres partes.</w:t>
      </w:r>
    </w:p>
    <w:p>
      <w:pPr>
        <w:pStyle w:val="ListParagraph"/>
        <w:numPr>
          <w:ilvl w:val="0"/>
          <w:numId w:val="2"/>
        </w:numPr>
        <w:spacing w:after="80" w:line="280"/>
      </w:pPr>
      <w:r>
        <w:rPr>
          <w:rFonts w:ascii="Arial" w:cs="Arial" w:eastAsia="Arial" w:hAnsi="Arial"/>
          <w:sz w:val="22"/>
          <w:szCs w:val="22"/>
        </w:rPr>
        <w:t xml:space="preserve">Panel de estadísticas avanzado para la inmobiliaria.</w:t>
      </w:r>
    </w:p>
    <w:p>
      <w:pPr>
        <w:pStyle w:val="ListParagraph"/>
        <w:numPr>
          <w:ilvl w:val="0"/>
          <w:numId w:val="2"/>
        </w:numPr>
        <w:spacing w:after="80" w:line="280"/>
      </w:pPr>
      <w:r>
        <w:rPr>
          <w:rFonts w:ascii="Arial" w:cs="Arial" w:eastAsia="Arial" w:hAnsi="Arial"/>
          <w:sz w:val="22"/>
          <w:szCs w:val="22"/>
        </w:rPr>
        <w:t xml:space="preserve">App móvil para el inquilino.</w:t>
      </w:r>
    </w:p>
    <w:p>
      <w:pPr>
        <w:pStyle w:val="Heading1"/>
        <w:pageBreakBefore/>
        <w:spacing w:after="160" w:before="0"/>
      </w:pPr>
      <w:r>
        <w:rPr>
          <w:rFonts w:ascii="Arial" w:cs="Arial" w:eastAsia="Arial" w:hAnsi="Arial"/>
        </w:rPr>
        <w:t xml:space="preserve">4. Componentes tecnológicos</w:t>
      </w:r>
    </w:p>
    <w:p>
      <w:pPr>
        <w:pStyle w:val="Heading2"/>
        <w:spacing w:after="100" w:before="200"/>
      </w:pPr>
      <w:r>
        <w:rPr>
          <w:rFonts w:ascii="Arial" w:cs="Arial" w:eastAsia="Arial" w:hAnsi="Arial"/>
        </w:rPr>
        <w:t xml:space="preserve">Arquitectura general</w:t>
      </w:r>
    </w:p>
    <w:p>
      <w:pPr>
        <w:spacing w:after="140" w:line="280"/>
      </w:pPr>
      <w:r>
        <w:rPr>
          <w:rFonts w:ascii="Arial" w:cs="Arial" w:eastAsia="Arial" w:hAnsi="Arial"/>
          <w:sz w:val="22"/>
          <w:szCs w:val="22"/>
        </w:rPr>
        <w:t xml:space="preserve">BlockProp es un SaaS centralizado con una capa de anclaje blockchain. No es un sistema completamente descentralizado: existe una empresa (el equipo) que opera la interfaz y el servidor off-chain. La blockchain actúa exclusivamente como capa de integridad y trazabilidad, no como sistema de custodia de dinero ni de almacenamiento de datos personales.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560"/>
      </w:tblGrid>
      <w:tr>
        <w:trPr>
          <w:tblHeader/>
        </w:trPr>
        <w:tc>
          <w:tcPr>
            <w:tcW w:type="dxa" w:w="24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Capa</w:t>
            </w:r>
          </w:p>
        </w:tc>
        <w:tc>
          <w:tcPr>
            <w:tcW w:type="dxa" w:w="24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Tecnología</w:t>
            </w:r>
          </w:p>
        </w:tc>
        <w:tc>
          <w:tcPr>
            <w:tcW w:type="dxa" w:w="35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Responsabilidad</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sz w:val="20"/>
                <w:szCs w:val="20"/>
              </w:rPr>
              <w:t xml:space="preserve">Frontend / demo</w:t>
            </w:r>
          </w:p>
        </w:tc>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sz w:val="20"/>
                <w:szCs w:val="20"/>
              </w:rPr>
              <w:t xml:space="preserve">HTML5, CSS3, JavaScript</w:t>
            </w:r>
          </w:p>
        </w:tc>
        <w:tc>
          <w:tcPr>
            <w:tcW w:type="dxa" w:w="35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sz w:val="20"/>
                <w:szCs w:val="20"/>
              </w:rPr>
              <w:t xml:space="preserve">Interfaz navegable de las tres vistas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Lógica de contratos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Solidity (^0.8.20)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Reglas de ajuste, ventana de impugnación, registro de estados</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sz w:val="20"/>
                <w:szCs w:val="20"/>
              </w:rPr>
              <w:t xml:space="preserve">Red blockchain objetivo</w:t>
            </w:r>
          </w:p>
        </w:tc>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sz w:val="20"/>
                <w:szCs w:val="20"/>
              </w:rPr>
              <w:t xml:space="preserve">Polygon (Amoy testnet)</w:t>
            </w:r>
          </w:p>
        </w:tc>
        <w:tc>
          <w:tcPr>
            <w:tcW w:type="dxa" w:w="35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sz w:val="20"/>
                <w:szCs w:val="20"/>
              </w:rPr>
              <w:t xml:space="preserve">Registro inmutable de hashes y eventos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Almacenamiento off-chain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Servidor centralizado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Documentos, comprobantes, datos personales</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sz w:val="20"/>
                <w:szCs w:val="20"/>
              </w:rPr>
              <w:t xml:space="preserve">Confirmación de pagos</w:t>
            </w:r>
          </w:p>
        </w:tc>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sz w:val="20"/>
                <w:szCs w:val="20"/>
              </w:rPr>
              <w:t xml:space="preserve">Pasarela de pago (mock en MVP)</w:t>
            </w:r>
          </w:p>
        </w:tc>
        <w:tc>
          <w:tcPr>
            <w:tcW w:type="dxa" w:w="35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sz w:val="20"/>
                <w:szCs w:val="20"/>
              </w:rPr>
              <w:t xml:space="preserve">Verificación automática del ingreso en pesos</w:t>
            </w:r>
          </w:p>
        </w:tc>
      </w:tr>
    </w:tbl>
    <w:p>
      <w:pPr>
        <w:spacing w:after="0" w:before="180"/>
      </w:pPr>
      <w:r>
        <w:t xml:space="preserve"/>
      </w:r>
    </w:p>
    <w:p>
      <w:pPr>
        <w:pStyle w:val="Heading2"/>
        <w:spacing w:after="100" w:before="200"/>
      </w:pPr>
      <w:r>
        <w:rPr>
          <w:rFonts w:ascii="Arial" w:cs="Arial" w:eastAsia="Arial" w:hAnsi="Arial"/>
        </w:rPr>
        <w:t xml:space="preserve">Inteligencia Artificial</w:t>
      </w:r>
    </w:p>
    <w:p>
      <w:pPr>
        <w:spacing w:after="140" w:line="280"/>
      </w:pPr>
      <w:r>
        <w:rPr>
          <w:rFonts w:ascii="Arial" w:cs="Arial" w:eastAsia="Arial" w:hAnsi="Arial"/>
          <w:b/>
          <w:bCs/>
          <w:sz w:val="22"/>
          <w:szCs w:val="22"/>
        </w:rPr>
        <w:t xml:space="preserve">Claude (Anthropic): </w:t>
      </w:r>
      <w:r>
        <w:rPr>
          <w:rFonts w:ascii="Arial" w:cs="Arial" w:eastAsia="Arial" w:hAnsi="Arial"/>
          <w:sz w:val="22"/>
          <w:szCs w:val="22"/>
        </w:rPr>
        <w:t xml:space="preserve">herramienta principal de IA utilizada a lo largo de todo el proyecto. Su uso fue estructural, no de asistencia puntual. El equipo usó Claude para definir la arquitectura técnica completa del sistema a través de sesiones de preguntas y contraargumentos, validar las decisiones de diseño (qué va on-chain vs. off-chain, modelo de custodia vs. registro, implicancias legales de datos personales en blockchain), generar el código del contrato inteligente en Solidity con explicaciones línea a línea para poder defenderlo en la presentación, y producir esta memoria técnica a partir de las definiciones alcanzadas.</w:t>
      </w:r>
    </w:p>
    <w:p>
      <w:pPr>
        <w:spacing w:after="140" w:line="280"/>
      </w:pPr>
      <w:r>
        <w:rPr>
          <w:rFonts w:ascii="Arial" w:cs="Arial" w:eastAsia="Arial" w:hAnsi="Arial"/>
          <w:b/>
          <w:bCs/>
          <w:sz w:val="22"/>
          <w:szCs w:val="22"/>
        </w:rPr>
        <w:t xml:space="preserve">Figma: </w:t>
      </w:r>
      <w:r>
        <w:rPr>
          <w:rFonts w:ascii="Arial" w:cs="Arial" w:eastAsia="Arial" w:hAnsi="Arial"/>
          <w:sz w:val="22"/>
          <w:szCs w:val="22"/>
        </w:rPr>
        <w:t xml:space="preserve">utilizado para el diseño de las interfaces y wireframes del sistema previo al desarrollo del prototipo HTML navegable.</w:t>
      </w:r>
    </w:p>
    <w:p>
      <w:pPr>
        <w:spacing w:after="140" w:line="280"/>
      </w:pPr>
      <w:r>
        <w:rPr>
          <w:rFonts w:ascii="Arial" w:cs="Arial" w:eastAsia="Arial" w:hAnsi="Arial"/>
          <w:b/>
          <w:bCs/>
          <w:sz w:val="22"/>
          <w:szCs w:val="22"/>
        </w:rPr>
        <w:t xml:space="preserve">Gemini (Google): </w:t>
      </w:r>
      <w:r>
        <w:rPr>
          <w:rFonts w:ascii="Arial" w:cs="Arial" w:eastAsia="Arial" w:hAnsi="Arial"/>
          <w:sz w:val="22"/>
          <w:szCs w:val="22"/>
        </w:rPr>
        <w:t xml:space="preserve">utilizado como herramienta complementaria de investigación y consulta durante la etapa de definición del problema.</w:t>
      </w:r>
    </w:p>
    <w:p>
      <w:pPr>
        <w:pStyle w:val="Heading2"/>
        <w:spacing w:after="100" w:before="200"/>
      </w:pPr>
      <w:r>
        <w:rPr>
          <w:rFonts w:ascii="Arial" w:cs="Arial" w:eastAsia="Arial" w:hAnsi="Arial"/>
        </w:rPr>
        <w:t xml:space="preserve">Blockchain: cómo fue utilizada y qué problema resuelve</w:t>
      </w:r>
    </w:p>
    <w:p>
      <w:pPr>
        <w:spacing w:after="140" w:line="280"/>
      </w:pPr>
      <w:r>
        <w:rPr>
          <w:rFonts w:ascii="Arial" w:cs="Arial" w:eastAsia="Arial" w:hAnsi="Arial"/>
          <w:b/>
          <w:bCs/>
          <w:sz w:val="22"/>
          <w:szCs w:val="22"/>
        </w:rPr>
        <w:t xml:space="preserve">Justificación de uso: </w:t>
      </w:r>
      <w:r>
        <w:rPr>
          <w:rFonts w:ascii="Arial" w:cs="Arial" w:eastAsia="Arial" w:hAnsi="Arial"/>
          <w:sz w:val="22"/>
          <w:szCs w:val="22"/>
        </w:rPr>
        <w:t xml:space="preserve">la elección de blockchain responde a una necesidad concreta y no a una moda tecnológica. El sistema involucra actores que no confían entre sí ni en un tercero custodio. Una base de datos centralizada resolvería la gestión, pero requeriría que todas las partes confíen en quien la administra. La blockchain aporta una sola cosa, pero esencial: prueba criptográfica de que un dato no fue alterado después de registrarse.</w:t>
      </w:r>
    </w:p>
    <w:p>
      <w:pPr>
        <w:spacing w:after="140" w:line="280"/>
      </w:pPr>
      <w:r>
        <w:rPr>
          <w:rFonts w:ascii="Arial" w:cs="Arial" w:eastAsia="Arial" w:hAnsi="Arial"/>
          <w:b/>
          <w:bCs/>
          <w:sz w:val="22"/>
          <w:szCs w:val="22"/>
        </w:rPr>
        <w:t xml:space="preserve">Qué se registra on-chain: </w:t>
      </w:r>
      <w:r>
        <w:rPr>
          <w:rFonts w:ascii="Arial" w:cs="Arial" w:eastAsia="Arial" w:hAnsi="Arial"/>
          <w:sz w:val="22"/>
          <w:szCs w:val="22"/>
        </w:rPr>
        <w:t xml:space="preserve">exclusivamente hashes (SHA-256) de documentos y estados de eventos (pago en fecha, tardío, no pago; incidente reportado; contrato vigente o deshabilitado). Ningún dato personal ni documento completo toca la cadena.</w:t>
      </w:r>
    </w:p>
    <w:p>
      <w:pPr>
        <w:spacing w:after="140" w:line="280"/>
      </w:pPr>
      <w:r>
        <w:rPr>
          <w:rFonts w:ascii="Arial" w:cs="Arial" w:eastAsia="Arial" w:hAnsi="Arial"/>
          <w:b/>
          <w:bCs/>
          <w:sz w:val="22"/>
          <w:szCs w:val="22"/>
        </w:rPr>
        <w:t xml:space="preserve">Por qué ese diseño: </w:t>
      </w:r>
      <w:r>
        <w:rPr>
          <w:rFonts w:ascii="Arial" w:cs="Arial" w:eastAsia="Arial" w:hAnsi="Arial"/>
          <w:sz w:val="22"/>
          <w:szCs w:val="22"/>
        </w:rPr>
        <w:t xml:space="preserve">guardar datos personales inmutables en blockchain violaría la Ley 25.326 de Protección de Datos Personales de Argentina, que reconoce el derecho de rectificación y supresión. El hash permite verificar integridad sin exponer ni inmovilizar datos sensibles.</w:t>
      </w:r>
    </w:p>
    <w:p>
      <w:pPr>
        <w:spacing w:after="140" w:line="280"/>
      </w:pPr>
      <w:r>
        <w:rPr>
          <w:rFonts w:ascii="Arial" w:cs="Arial" w:eastAsia="Arial" w:hAnsi="Arial"/>
          <w:b/>
          <w:bCs/>
          <w:sz w:val="22"/>
          <w:szCs w:val="22"/>
        </w:rPr>
        <w:t xml:space="preserve">Evidencia de funcionamiento: </w:t>
      </w:r>
      <w:r>
        <w:rPr>
          <w:rFonts w:ascii="Arial" w:cs="Arial" w:eastAsia="Arial" w:hAnsi="Arial"/>
          <w:sz w:val="22"/>
          <w:szCs w:val="22"/>
        </w:rPr>
        <w:t xml:space="preserve">el prototipo navegable muestra el flujo de registro on-chain en tiempo real (simulado). El contrato inteligente en Solidity está documentado en el repositorio con la lógica completa de propuesta, ventana de impugnación y aplicación automática del ajuste.</w:t>
      </w:r>
    </w:p>
    <w:p>
      <w:pPr>
        <w:pStyle w:val="Heading2"/>
        <w:spacing w:after="100" w:before="200"/>
      </w:pPr>
      <w:r>
        <w:rPr>
          <w:rFonts w:ascii="Arial" w:cs="Arial" w:eastAsia="Arial" w:hAnsi="Arial"/>
        </w:rPr>
        <w:t xml:space="preserve">Integración con contenidos de la materia</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00"/>
        <w:gridCol w:w="5160"/>
      </w:tblGrid>
      <w:tr>
        <w:trPr>
          <w:tblHeader/>
        </w:trPr>
        <w:tc>
          <w:tcPr>
            <w:tcW w:type="dxa" w:w="3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Línea temática</w:t>
            </w:r>
          </w:p>
        </w:tc>
        <w:tc>
          <w:tcPr>
            <w:tcW w:type="dxa" w:w="51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Aplicación concreta en BlockProp</w:t>
            </w:r>
          </w:p>
        </w:tc>
      </w:tr>
      <w:tr>
        <w:tc>
          <w:tcPr>
            <w:tcW w:type="dxa" w:w="3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sz w:val="20"/>
                <w:szCs w:val="20"/>
              </w:rPr>
              <w:t xml:space="preserve">Blockchain y contratos inteligentes</w:t>
            </w:r>
          </w:p>
        </w:tc>
        <w:tc>
          <w:tcPr>
            <w:tcW w:type="dxa" w:w="5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sz w:val="20"/>
                <w:szCs w:val="20"/>
              </w:rPr>
              <w:t xml:space="preserve">Uso de Solidity para definir reglas de negocio inmutables (ajuste de monto, ventana de impugnación, estados del contrato). Comprensión del modelo de ejecución de EVM.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Seguridad informática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Hash SHA-256 como mecanismo de verificación de integridad. Separación de datos personales off-chain. Identidad seudónima para preservar privacidad en el historial de reputación.</w:t>
            </w:r>
          </w:p>
        </w:tc>
      </w:tr>
      <w:tr>
        <w:tc>
          <w:tcPr>
            <w:tcW w:type="dxa" w:w="3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sz w:val="20"/>
                <w:szCs w:val="20"/>
              </w:rPr>
              <w:t xml:space="preserve">Lenguajes de programación</w:t>
            </w:r>
          </w:p>
        </w:tc>
        <w:tc>
          <w:tcPr>
            <w:tcW w:type="dxa" w:w="5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sz w:val="20"/>
                <w:szCs w:val="20"/>
              </w:rPr>
              <w:t xml:space="preserve">Solidity como lenguaje de tipado estático con restricciones propias del entorno blockchain (sin decimales nativos, uso de basis points, ausencia de datos externos). JavaScript para la lógica del frontend y el cálculo de hashes con Web Crypto API.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Sistemas distribuidos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Comprensión de las limitaciones de los contratos inteligentes (no pueden acceder a datos externos sin oráculo, no se ejecutan solos sin un disparador). Diseño consciente de los puntos de confianza del sistema.</w:t>
            </w:r>
          </w:p>
        </w:tc>
      </w:tr>
    </w:tbl>
    <w:p>
      <w:pPr>
        <w:pStyle w:val="Heading1"/>
        <w:pageBreakBefore/>
        <w:spacing w:after="160" w:before="0"/>
      </w:pPr>
      <w:r>
        <w:rPr>
          <w:rFonts w:ascii="Arial" w:cs="Arial" w:eastAsia="Arial" w:hAnsi="Arial"/>
        </w:rPr>
        <w:t xml:space="preserve">5. Innovación e impacto</w:t>
      </w:r>
    </w:p>
    <w:p>
      <w:pPr>
        <w:pStyle w:val="Heading2"/>
        <w:spacing w:after="100" w:before="200"/>
      </w:pPr>
      <w:r>
        <w:rPr>
          <w:rFonts w:ascii="Arial" w:cs="Arial" w:eastAsia="Arial" w:hAnsi="Arial"/>
        </w:rPr>
        <w:t xml:space="preserve">Aspectos innovadores</w:t>
      </w:r>
    </w:p>
    <w:p>
      <w:pPr>
        <w:pStyle w:val="ListParagraph"/>
        <w:numPr>
          <w:ilvl w:val="0"/>
          <w:numId w:val="2"/>
        </w:numPr>
        <w:spacing w:after="80" w:line="280"/>
      </w:pPr>
      <w:r>
        <w:rPr>
          <w:rFonts w:ascii="Arial" w:cs="Arial" w:eastAsia="Arial" w:hAnsi="Arial"/>
          <w:b/>
          <w:bCs/>
          <w:sz w:val="22"/>
          <w:szCs w:val="22"/>
        </w:rPr>
        <w:t xml:space="preserve">Reputación portable del inquilino: </w:t>
      </w:r>
      <w:r>
        <w:rPr>
          <w:rFonts w:ascii="Arial" w:cs="Arial" w:eastAsia="Arial" w:hAnsi="Arial"/>
          <w:sz w:val="22"/>
          <w:szCs w:val="22"/>
        </w:rPr>
        <w:t xml:space="preserve">el historial de cumplimiento acompaña al inquilino entre inmobiliarias sin depender de ninguna de ellas. Ninguna solución existente en el mercado argentino ofrece esto.</w:t>
      </w:r>
    </w:p>
    <w:p>
      <w:pPr>
        <w:pStyle w:val="ListParagraph"/>
        <w:numPr>
          <w:ilvl w:val="0"/>
          <w:numId w:val="2"/>
        </w:numPr>
        <w:spacing w:after="80" w:line="280"/>
      </w:pPr>
      <w:r>
        <w:rPr>
          <w:rFonts w:ascii="Arial" w:cs="Arial" w:eastAsia="Arial" w:hAnsi="Arial"/>
          <w:b/>
          <w:bCs/>
          <w:sz w:val="22"/>
          <w:szCs w:val="22"/>
        </w:rPr>
        <w:t xml:space="preserve">Notarización de contratos sin notario: </w:t>
      </w:r>
      <w:r>
        <w:rPr>
          <w:rFonts w:ascii="Arial" w:cs="Arial" w:eastAsia="Arial" w:hAnsi="Arial"/>
          <w:sz w:val="22"/>
          <w:szCs w:val="22"/>
        </w:rPr>
        <w:t xml:space="preserve">el hash on-chain cumple la función de prueba de existencia e integridad del contrato sin requerir intervención de un tercero certificador.</w:t>
      </w:r>
    </w:p>
    <w:p>
      <w:pPr>
        <w:pStyle w:val="ListParagraph"/>
        <w:numPr>
          <w:ilvl w:val="0"/>
          <w:numId w:val="2"/>
        </w:numPr>
        <w:spacing w:after="80" w:line="280"/>
      </w:pPr>
      <w:r>
        <w:rPr>
          <w:rFonts w:ascii="Arial" w:cs="Arial" w:eastAsia="Arial" w:hAnsi="Arial"/>
          <w:b/>
          <w:bCs/>
          <w:sz w:val="22"/>
          <w:szCs w:val="22"/>
        </w:rPr>
        <w:t xml:space="preserve">Automatización del seguimiento de pagos: </w:t>
      </w:r>
      <w:r>
        <w:rPr>
          <w:rFonts w:ascii="Arial" w:cs="Arial" w:eastAsia="Arial" w:hAnsi="Arial"/>
          <w:sz w:val="22"/>
          <w:szCs w:val="22"/>
        </w:rPr>
        <w:t xml:space="preserve">la integración con pasarela de pago elimina la carga manual de confirmación que hoy recae sobre la inmobiliaria.</w:t>
      </w:r>
    </w:p>
    <w:p>
      <w:pPr>
        <w:pStyle w:val="Heading2"/>
        <w:spacing w:after="100" w:before="200"/>
      </w:pPr>
      <w:r>
        <w:rPr>
          <w:rFonts w:ascii="Arial" w:cs="Arial" w:eastAsia="Arial" w:hAnsi="Arial"/>
        </w:rPr>
        <w:t xml:space="preserve">Impacto esperado</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6360"/>
      </w:tblGrid>
      <w:tr>
        <w:trPr>
          <w:tblHeader/>
        </w:trPr>
        <w:tc>
          <w:tcPr>
            <w:tcW w:type="dxa" w:w="2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Dimensión</w:t>
            </w:r>
          </w:p>
        </w:tc>
        <w:tc>
          <w:tcPr>
            <w:tcW w:type="dxa" w:w="63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Impacto</w:t>
            </w:r>
          </w:p>
        </w:tc>
      </w:tr>
      <w:tr>
        <w:tc>
          <w:tcPr>
            <w:tcW w:type="dxa" w:w="2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sz w:val="20"/>
                <w:szCs w:val="20"/>
              </w:rPr>
              <w:t xml:space="preserve">Social</w:t>
            </w:r>
          </w:p>
        </w:tc>
        <w:tc>
          <w:tcPr>
            <w:tcW w:type="dxa" w:w="63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sz w:val="20"/>
                <w:szCs w:val="20"/>
              </w:rPr>
              <w:t xml:space="preserve">Reduce la asimetría de información entre inquilinos e inmobiliarias. Da al inquilino acceso a sus propios registros y una reputación que construye y porta.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Económico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Reduce horas-hombre administrativas en inmobiliarias. Disminuye disputas y litigios por falta de documentación verificable.</w:t>
            </w:r>
          </w:p>
        </w:tc>
      </w:tr>
      <w:tr>
        <w:tc>
          <w:tcPr>
            <w:tcW w:type="dxa" w:w="2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sz w:val="20"/>
                <w:szCs w:val="20"/>
              </w:rPr>
              <w:t xml:space="preserve">Ambiental</w:t>
            </w:r>
          </w:p>
        </w:tc>
        <w:tc>
          <w:tcPr>
            <w:tcW w:type="dxa" w:w="63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sz w:val="20"/>
                <w:szCs w:val="20"/>
              </w:rPr>
              <w:t xml:space="preserve">Digitalización de contratos y comprobantes en papel. Uso de Polygon, red con consumo energético significativamente menor a Bitcoin o Ethereum PoW.</w:t>
            </w:r>
          </w:p>
        </w:tc>
      </w:tr>
    </w:tbl>
    <w:p>
      <w:pPr>
        <w:spacing w:after="0" w:before="120"/>
      </w:pPr>
      <w:r>
        <w:t xml:space="preserve"/>
      </w:r>
    </w:p>
    <w:p>
      <w:pPr>
        <w:spacing w:after="140" w:line="280"/>
      </w:pPr>
      <w:r>
        <w:rPr>
          <w:rFonts w:ascii="Arial" w:cs="Arial" w:eastAsia="Arial" w:hAnsi="Arial"/>
          <w:b/>
          <w:bCs/>
          <w:sz w:val="22"/>
          <w:szCs w:val="22"/>
        </w:rPr>
        <w:t xml:space="preserve">Métrica de éxito principal: </w:t>
      </w:r>
      <w:r>
        <w:rPr>
          <w:rFonts w:ascii="Arial" w:cs="Arial" w:eastAsia="Arial" w:hAnsi="Arial"/>
          <w:sz w:val="22"/>
          <w:szCs w:val="22"/>
        </w:rPr>
        <w:t xml:space="preserve">reducción del tiempo de gestión administrativa de cobros en la inmobiliaria, medible como horas-hombre por contrato por mes. Como métrica secundaria: tasa de adopción del historial portable por parte de inquilinos entre contratos sucesivos.</w:t>
      </w:r>
    </w:p>
    <w:p>
      <w:pPr>
        <w:pStyle w:val="Heading1"/>
        <w:pageBreakBefore/>
        <w:spacing w:after="160" w:before="0"/>
      </w:pPr>
      <w:r>
        <w:rPr>
          <w:rFonts w:ascii="Arial" w:cs="Arial" w:eastAsia="Arial" w:hAnsi="Arial"/>
        </w:rPr>
        <w:t xml:space="preserve">6. Viabilidad y sustentabilidad</w:t>
      </w:r>
    </w:p>
    <w:p>
      <w:pPr>
        <w:pStyle w:val="Heading2"/>
        <w:spacing w:after="100" w:before="200"/>
      </w:pPr>
      <w:r>
        <w:rPr>
          <w:rFonts w:ascii="Arial" w:cs="Arial" w:eastAsia="Arial" w:hAnsi="Arial"/>
        </w:rPr>
        <w:t xml:space="preserve">Factibilidad técnica</w:t>
      </w:r>
    </w:p>
    <w:p>
      <w:pPr>
        <w:spacing w:after="140" w:line="280"/>
      </w:pPr>
      <w:r>
        <w:rPr>
          <w:rFonts w:ascii="Arial" w:cs="Arial" w:eastAsia="Arial" w:hAnsi="Arial"/>
          <w:sz w:val="22"/>
          <w:szCs w:val="22"/>
        </w:rPr>
        <w:t xml:space="preserve">El stack tecnológico es maduro y disponible. Solidity y Polygon son tecnologías de producción con amplia documentación y ecosistema. La integración con pasarelas de pago (Mercado Pago, MODO, APIs bancarias) es estándar en el mercado argentino. El mayor riesgo técnico es la integración bancaria, que requiere convenios comerciales, no desarrollo complejo.</w:t>
      </w:r>
    </w:p>
    <w:p>
      <w:pPr>
        <w:pStyle w:val="Heading2"/>
        <w:spacing w:after="100" w:before="200"/>
      </w:pPr>
      <w:r>
        <w:rPr>
          <w:rFonts w:ascii="Arial" w:cs="Arial" w:eastAsia="Arial" w:hAnsi="Arial"/>
        </w:rPr>
        <w:t xml:space="preserve">Factibilidad económica</w:t>
      </w:r>
    </w:p>
    <w:p>
      <w:pPr>
        <w:spacing w:after="140" w:line="280"/>
      </w:pPr>
      <w:r>
        <w:rPr>
          <w:rFonts w:ascii="Arial" w:cs="Arial" w:eastAsia="Arial" w:hAnsi="Arial"/>
          <w:b/>
          <w:bCs/>
          <w:sz w:val="22"/>
          <w:szCs w:val="22"/>
        </w:rPr>
        <w:t xml:space="preserve">Modelo de ingresos: </w:t>
      </w:r>
      <w:r>
        <w:rPr>
          <w:rFonts w:ascii="Arial" w:cs="Arial" w:eastAsia="Arial" w:hAnsi="Arial"/>
          <w:sz w:val="22"/>
          <w:szCs w:val="22"/>
        </w:rPr>
        <w:t xml:space="preserve">suscripción mensual pagada por la inmobiliaria, con planes según volumen de contratos y propiedades. El inquilino y el propietario no pagan; son usuarios beneficiarios del sistema.</w:t>
      </w:r>
    </w:p>
    <w:p>
      <w:pPr>
        <w:spacing w:after="140" w:line="280"/>
      </w:pPr>
      <w:r>
        <w:rPr>
          <w:rFonts w:ascii="Arial" w:cs="Arial" w:eastAsia="Arial" w:hAnsi="Arial"/>
          <w:b/>
          <w:bCs/>
          <w:sz w:val="22"/>
          <w:szCs w:val="22"/>
        </w:rPr>
        <w:t xml:space="preserve">Estructura de costos: </w:t>
      </w:r>
      <w:r>
        <w:rPr>
          <w:rFonts w:ascii="Arial" w:cs="Arial" w:eastAsia="Arial" w:hAnsi="Arial"/>
          <w:sz w:val="22"/>
          <w:szCs w:val="22"/>
        </w:rPr>
        <w:t xml:space="preserve">servidor de la plataforma, costos de gas en Polygon (mínimos, centavos por transacción), mantenimiento del equipo. El costo marginal por contrato adicional es prácticamente cero.</w:t>
      </w:r>
    </w:p>
    <w:p>
      <w:pPr>
        <w:spacing w:after="140" w:line="280"/>
      </w:pPr>
      <w:r>
        <w:rPr>
          <w:rFonts w:ascii="Arial" w:cs="Arial" w:eastAsia="Arial" w:hAnsi="Arial"/>
          <w:b/>
          <w:bCs/>
          <w:sz w:val="22"/>
          <w:szCs w:val="22"/>
        </w:rPr>
        <w:t xml:space="preserve">Quién paga: </w:t>
      </w:r>
      <w:r>
        <w:rPr>
          <w:rFonts w:ascii="Arial" w:cs="Arial" w:eastAsia="Arial" w:hAnsi="Arial"/>
          <w:sz w:val="22"/>
          <w:szCs w:val="22"/>
        </w:rPr>
        <w:t xml:space="preserve">la inmobiliaria, porque recibe el mayor beneficio operativo (reducción de carga administrativa) y ya paga suscripciones a software de gestión inmobiliaria.</w:t>
      </w:r>
    </w:p>
    <w:p>
      <w:pPr>
        <w:pStyle w:val="Heading2"/>
        <w:spacing w:after="100" w:before="200"/>
      </w:pPr>
      <w:r>
        <w:rPr>
          <w:rFonts w:ascii="Arial" w:cs="Arial" w:eastAsia="Arial" w:hAnsi="Arial"/>
        </w:rPr>
        <w:t xml:space="preserve">Posibles aliados y estrategia de crecimiento</w:t>
      </w:r>
    </w:p>
    <w:p>
      <w:pPr>
        <w:pStyle w:val="ListParagraph"/>
        <w:numPr>
          <w:ilvl w:val="0"/>
          <w:numId w:val="2"/>
        </w:numPr>
        <w:spacing w:after="80" w:line="280"/>
      </w:pPr>
      <w:r>
        <w:rPr>
          <w:rFonts w:ascii="Arial" w:cs="Arial" w:eastAsia="Arial" w:hAnsi="Arial"/>
          <w:sz w:val="22"/>
          <w:szCs w:val="22"/>
        </w:rPr>
        <w:t xml:space="preserve">Inmobiliarias medianas como early adopters (menor resistencia al cambio que las grandes cadenas).</w:t>
      </w:r>
    </w:p>
    <w:p>
      <w:pPr>
        <w:pStyle w:val="ListParagraph"/>
        <w:numPr>
          <w:ilvl w:val="0"/>
          <w:numId w:val="2"/>
        </w:numPr>
        <w:spacing w:after="80" w:line="280"/>
      </w:pPr>
      <w:r>
        <w:rPr>
          <w:rFonts w:ascii="Arial" w:cs="Arial" w:eastAsia="Arial" w:hAnsi="Arial"/>
          <w:sz w:val="22"/>
          <w:szCs w:val="22"/>
        </w:rPr>
        <w:t xml:space="preserve">Cámaras inmobiliarias provinciales como canal de distribución.</w:t>
      </w:r>
    </w:p>
    <w:p>
      <w:pPr>
        <w:pStyle w:val="ListParagraph"/>
        <w:numPr>
          <w:ilvl w:val="0"/>
          <w:numId w:val="2"/>
        </w:numPr>
        <w:spacing w:after="80" w:line="280"/>
      </w:pPr>
      <w:r>
        <w:rPr>
          <w:rFonts w:ascii="Arial" w:cs="Arial" w:eastAsia="Arial" w:hAnsi="Arial"/>
          <w:sz w:val="22"/>
          <w:szCs w:val="22"/>
        </w:rPr>
        <w:t xml:space="preserve">Crecimiento orgánico: el historial portable del inquilino genera efecto de red, porque el inquilino prefiere inmobiliarias que estén en la plataforma.</w:t>
      </w:r>
    </w:p>
    <w:p>
      <w:pPr>
        <w:pStyle w:val="Heading1"/>
        <w:pageBreakBefore/>
        <w:spacing w:after="160" w:before="0"/>
      </w:pPr>
      <w:r>
        <w:rPr>
          <w:rFonts w:ascii="Arial" w:cs="Arial" w:eastAsia="Arial" w:hAnsi="Arial"/>
        </w:rPr>
        <w:t xml:space="preserve">7. Trabajo en equipo</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960"/>
      </w:tblGrid>
      <w:tr>
        <w:trPr>
          <w:tblHeader/>
        </w:trPr>
        <w:tc>
          <w:tcPr>
            <w:tcW w:type="dxa" w:w="2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Integrante</w:t>
            </w:r>
          </w:p>
        </w:tc>
        <w:tc>
          <w:tcPr>
            <w:tcW w:type="dxa" w:w="2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Rol</w:t>
            </w:r>
          </w:p>
        </w:tc>
        <w:tc>
          <w:tcPr>
            <w:tcW w:type="dxa" w:w="39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Responsabilidades principales</w:t>
            </w:r>
          </w:p>
        </w:tc>
      </w:tr>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sz w:val="20"/>
                <w:szCs w:val="20"/>
              </w:rPr>
              <w:t xml:space="preserve">Santiago Quintana</w:t>
            </w:r>
          </w:p>
        </w:tc>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sz w:val="20"/>
                <w:szCs w:val="20"/>
              </w:rPr>
              <w:t xml:space="preserve">Análisis crítico y definición del problema</w:t>
            </w:r>
          </w:p>
        </w:tc>
        <w:tc>
          <w:tcPr>
            <w:tcW w:type="dxa" w:w="3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sz w:val="20"/>
                <w:szCs w:val="20"/>
              </w:rPr>
              <w:t xml:space="preserve">Identificar fallas en la propuesta, cuestionar supuestos, validar que cada decisión técnica resiste preguntas del jurado.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Fabrizio Tacchi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Documentación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Registro claro de cada decisión y evolución del proyecto, organización del repositorio, redacción de entregables.</w:t>
            </w:r>
          </w:p>
        </w:tc>
      </w:tr>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sz w:val="20"/>
                <w:szCs w:val="20"/>
              </w:rPr>
              <w:t xml:space="preserve">Mauricio Spirilis</w:t>
            </w:r>
          </w:p>
        </w:tc>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sz w:val="20"/>
                <w:szCs w:val="20"/>
              </w:rPr>
              <w:t xml:space="preserve">Producto y comunicación</w:t>
            </w:r>
          </w:p>
        </w:tc>
        <w:tc>
          <w:tcPr>
            <w:tcW w:type="dxa" w:w="3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pPr>
            <w:r>
              <w:rPr>
                <w:rFonts w:ascii="Arial" w:cs="Arial" w:eastAsia="Arial" w:hAnsi="Arial"/>
                <w:sz w:val="20"/>
                <w:szCs w:val="20"/>
              </w:rPr>
              <w:t xml:space="preserve">Creación del Lean Canvas, producción del video demo, presentación visual del proyecto.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Facundo Uria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Desarrollo técnico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Prototipo navegable (frontend), definición de la arquitectura técnica, lógica del contrato inteligente en Solidity.</w:t>
            </w:r>
          </w:p>
        </w:tc>
      </w:tr>
    </w:tbl>
    <w:p>
      <w:pPr>
        <w:spacing w:after="0" w:before="140"/>
      </w:pPr>
      <w:r>
        <w:t xml:space="preserve"/>
      </w:r>
    </w:p>
    <w:p>
      <w:pPr>
        <w:pStyle w:val="Heading2"/>
        <w:spacing w:after="100" w:before="200"/>
      </w:pPr>
      <w:r>
        <w:rPr>
          <w:rFonts w:ascii="Arial" w:cs="Arial" w:eastAsia="Arial" w:hAnsi="Arial"/>
        </w:rPr>
        <w:t xml:space="preserve">Organización del trabajo</w:t>
      </w:r>
    </w:p>
    <w:p>
      <w:pPr>
        <w:spacing w:after="140" w:line="280"/>
      </w:pPr>
      <w:r>
        <w:rPr>
          <w:rFonts w:ascii="Arial" w:cs="Arial" w:eastAsia="Arial" w:hAnsi="Arial"/>
          <w:sz w:val="22"/>
          <w:szCs w:val="22"/>
        </w:rPr>
        <w:t xml:space="preserve">El equipo trabajó de forma colaborativa y sincrónica. La metodología central fue la discusión iterativa: cada decisión de diseño o arquitectura fue cuestionada por el rol crítico (Santiago) antes de ser documentada (Fabrizio) e implementada (Facundo). Las sesiones de definición se realizaron con soporte de IA para validar supuestos técnicos en tiempo real.</w:t>
      </w:r>
    </w:p>
    <w:p>
      <w:pPr>
        <w:spacing w:after="140" w:line="280"/>
      </w:pPr>
      <w:r>
        <w:rPr>
          <w:rFonts w:ascii="Arial" w:cs="Arial" w:eastAsia="Arial" w:hAnsi="Arial"/>
          <w:sz w:val="22"/>
          <w:szCs w:val="22"/>
        </w:rPr>
        <w:t xml:space="preserve">Se utilizó GitHub como herramienta de colaboración y centralización de entregables, con el repositorio público desde el inicio del proyecto.</w:t>
      </w:r>
    </w:p>
    <w:p>
      <w:pPr>
        <w:pStyle w:val="Heading1"/>
        <w:pageBreakBefore/>
        <w:spacing w:after="160" w:before="0"/>
      </w:pPr>
      <w:r>
        <w:rPr>
          <w:rFonts w:ascii="Arial" w:cs="Arial" w:eastAsia="Arial" w:hAnsi="Arial"/>
        </w:rPr>
        <w:t xml:space="preserve">8. Aprendizajes y propuestas descartadas</w:t>
      </w:r>
    </w:p>
    <w:p>
      <w:pPr>
        <w:pStyle w:val="Heading2"/>
        <w:spacing w:after="100" w:before="200"/>
      </w:pPr>
      <w:r>
        <w:rPr>
          <w:rFonts w:ascii="Arial" w:cs="Arial" w:eastAsia="Arial" w:hAnsi="Arial"/>
        </w:rPr>
        <w:t xml:space="preserve">Propuestas evaluadas y descartadas</w:t>
      </w:r>
    </w:p>
    <w:p>
      <w:pPr>
        <w:spacing w:after="140" w:line="280"/>
      </w:pPr>
      <w:r>
        <w:rPr>
          <w:rFonts w:ascii="Arial" w:cs="Arial" w:eastAsia="Arial" w:hAnsi="Arial"/>
          <w:b/>
          <w:bCs/>
          <w:sz w:val="22"/>
          <w:szCs w:val="22"/>
        </w:rPr>
        <w:t xml:space="preserve">Ajuste de monto por IPC con oráculo.</w:t>
      </w:r>
    </w:p>
    <w:p>
      <w:pPr>
        <w:spacing w:after="140" w:line="280"/>
      </w:pPr>
      <w:r>
        <w:rPr>
          <w:rFonts w:ascii="Arial" w:cs="Arial" w:eastAsia="Arial" w:hAnsi="Arial"/>
          <w:sz w:val="22"/>
          <w:szCs w:val="22"/>
        </w:rPr>
        <w:t xml:space="preserve">La propuesta original incluía ajuste automático por el Índice de Precios al Consumidor del INDEC. Se descartó porque un smart contract no puede consultar datos externos; requeriría un oráculo (Chainlink u otro), que introduce un nuevo punto de confianza centralizado que contradice el argumento principal del sistema. Se reemplazó por porcentaje fijo firmado por las tres partes, que es completamente on-chain y no requiere datos externos.</w:t>
      </w:r>
    </w:p>
    <w:p>
      <w:pPr>
        <w:spacing w:after="0" w:before="80"/>
      </w:pPr>
      <w:r>
        <w:t xml:space="preserve"/>
      </w:r>
    </w:p>
    <w:p>
      <w:pPr>
        <w:spacing w:after="140" w:line="280"/>
      </w:pPr>
      <w:r>
        <w:rPr>
          <w:rFonts w:ascii="Arial" w:cs="Arial" w:eastAsia="Arial" w:hAnsi="Arial"/>
          <w:b/>
          <w:bCs/>
          <w:sz w:val="22"/>
          <w:szCs w:val="22"/>
        </w:rPr>
        <w:t xml:space="preserve">Escrow de dinero on-chain (custodia real en criptomonedas).</w:t>
      </w:r>
    </w:p>
    <w:p>
      <w:pPr>
        <w:spacing w:after="140" w:line="280"/>
      </w:pPr>
      <w:r>
        <w:rPr>
          <w:rFonts w:ascii="Arial" w:cs="Arial" w:eastAsia="Arial" w:hAnsi="Arial"/>
          <w:sz w:val="22"/>
          <w:szCs w:val="22"/>
        </w:rPr>
        <w:t xml:space="preserve">Se evaluó custodiar el dinero del alquiler en el contrato inteligente como stablecoin (USDT/DAI). Se descartó porque requeriría que el inquilino opere con criptomonedas (inviable en el mercado argentino masivo), implica comisiones de conversión y un exchange centralizado, y agrega complejidad regulatoria. Se adoptó el modelo de registro: el dinero se mueve por canales bancarios en pesos, la blockchain registra el comprobante.</w:t>
      </w:r>
    </w:p>
    <w:p>
      <w:pPr>
        <w:spacing w:after="0" w:before="80"/>
      </w:pPr>
      <w:r>
        <w:t xml:space="preserve"/>
      </w:r>
    </w:p>
    <w:p>
      <w:pPr>
        <w:spacing w:after="140" w:line="280"/>
      </w:pPr>
      <w:r>
        <w:rPr>
          <w:rFonts w:ascii="Arial" w:cs="Arial" w:eastAsia="Arial" w:hAnsi="Arial"/>
          <w:b/>
          <w:bCs/>
          <w:sz w:val="22"/>
          <w:szCs w:val="22"/>
        </w:rPr>
        <w:t xml:space="preserve">Sistema completamente autónomo y descentralizado.</w:t>
      </w:r>
    </w:p>
    <w:p>
      <w:pPr>
        <w:spacing w:after="140" w:line="280"/>
      </w:pPr>
      <w:r>
        <w:rPr>
          <w:rFonts w:ascii="Arial" w:cs="Arial" w:eastAsia="Arial" w:hAnsi="Arial"/>
          <w:sz w:val="22"/>
          <w:szCs w:val="22"/>
        </w:rPr>
        <w:t xml:space="preserve">Se evaluó presentar BlockProp como un sistema sin operador central. Se descartó porque es técnicamente falso: existe una empresa que mantiene la interfaz, cobra la suscripción y opera el servidor off-chain. Presentarlo como autónomo habría sido una afirmación incorrecta ante el jurado. Se adoptó la descripción honesta: SaaS centralizado con capa blockchain.</w:t>
      </w:r>
    </w:p>
    <w:p>
      <w:pPr>
        <w:spacing w:after="0" w:before="80"/>
      </w:pPr>
      <w:r>
        <w:t xml:space="preserve"/>
      </w:r>
    </w:p>
    <w:p>
      <w:pPr>
        <w:spacing w:after="140" w:line="280"/>
      </w:pPr>
      <w:r>
        <w:rPr>
          <w:rFonts w:ascii="Arial" w:cs="Arial" w:eastAsia="Arial" w:hAnsi="Arial"/>
          <w:b/>
          <w:bCs/>
          <w:sz w:val="22"/>
          <w:szCs w:val="22"/>
        </w:rPr>
        <w:t xml:space="preserve">Datos personales on-chain.</w:t>
      </w:r>
    </w:p>
    <w:p>
      <w:pPr>
        <w:spacing w:after="140" w:line="280"/>
      </w:pPr>
      <w:r>
        <w:rPr>
          <w:rFonts w:ascii="Arial" w:cs="Arial" w:eastAsia="Arial" w:hAnsi="Arial"/>
          <w:sz w:val="22"/>
          <w:szCs w:val="22"/>
        </w:rPr>
        <w:t xml:space="preserve">Se evaluó publicar los contratos completos (con nombre, DNI, domicilio) en la blockchain para máxima transparencia. Se descartó porque violaría la Ley 25.326 de Protección de Datos Personales: la inmutabilidad de la cadena impide el derecho de rectificación y supresión que la ley garantiza. Se adoptó el modelo de hash: datos off-chain, huella criptográfica on-chain.</w:t>
      </w:r>
    </w:p>
    <w:p>
      <w:pPr>
        <w:pStyle w:val="Heading2"/>
        <w:spacing w:after="100" w:before="200"/>
      </w:pPr>
      <w:r>
        <w:rPr>
          <w:rFonts w:ascii="Arial" w:cs="Arial" w:eastAsia="Arial" w:hAnsi="Arial"/>
        </w:rPr>
        <w:t xml:space="preserve">Principales aprendizajes</w:t>
      </w:r>
    </w:p>
    <w:p>
      <w:pPr>
        <w:pStyle w:val="ListParagraph"/>
        <w:numPr>
          <w:ilvl w:val="0"/>
          <w:numId w:val="2"/>
        </w:numPr>
        <w:spacing w:after="80" w:line="280"/>
      </w:pPr>
      <w:r>
        <w:rPr>
          <w:rFonts w:ascii="Arial" w:cs="Arial" w:eastAsia="Arial" w:hAnsi="Arial"/>
          <w:sz w:val="22"/>
          <w:szCs w:val="22"/>
        </w:rPr>
        <w:t xml:space="preserve">Blockchain justifica su uso cuando ninguna parte confía en las otras ni en un custodio, no cuando simplemente se quiere "seguridad".</w:t>
      </w:r>
    </w:p>
    <w:p>
      <w:pPr>
        <w:pStyle w:val="ListParagraph"/>
        <w:numPr>
          <w:ilvl w:val="0"/>
          <w:numId w:val="2"/>
        </w:numPr>
        <w:spacing w:after="80" w:line="280"/>
      </w:pPr>
      <w:r>
        <w:rPr>
          <w:rFonts w:ascii="Arial" w:cs="Arial" w:eastAsia="Arial" w:hAnsi="Arial"/>
          <w:sz w:val="22"/>
          <w:szCs w:val="22"/>
        </w:rPr>
        <w:t xml:space="preserve">Un contrato inteligente no accede a datos del mundo real por sí solo: todo dato externo (IPC, confirmación de pago) requiere un agente de confianza que lo inyecte, lo que obliga a diseñar sistemas de mitigación (ventanas de impugnación, entidades reguladas).</w:t>
      </w:r>
    </w:p>
    <w:p>
      <w:pPr>
        <w:pStyle w:val="ListParagraph"/>
        <w:numPr>
          <w:ilvl w:val="0"/>
          <w:numId w:val="2"/>
        </w:numPr>
        <w:spacing w:after="80" w:line="280"/>
      </w:pPr>
      <w:r>
        <w:rPr>
          <w:rFonts w:ascii="Arial" w:cs="Arial" w:eastAsia="Arial" w:hAnsi="Arial"/>
          <w:sz w:val="22"/>
          <w:szCs w:val="22"/>
        </w:rPr>
        <w:t xml:space="preserve">La privacidad y la inmutabilidad son objetivos que se contradicen si no se diseña correctamente la separación on-chain / off-chain.</w:t>
      </w:r>
    </w:p>
    <w:p>
      <w:pPr>
        <w:pStyle w:val="ListParagraph"/>
        <w:numPr>
          <w:ilvl w:val="0"/>
          <w:numId w:val="2"/>
        </w:numPr>
        <w:spacing w:after="80" w:line="280"/>
      </w:pPr>
      <w:r>
        <w:rPr>
          <w:rFonts w:ascii="Arial" w:cs="Arial" w:eastAsia="Arial" w:hAnsi="Arial"/>
          <w:sz w:val="22"/>
          <w:szCs w:val="22"/>
        </w:rPr>
        <w:t xml:space="preserve">Cuestionar cada supuesto antes de construir evita reescribir arquitecturas enteras a mitad del proyecto.</w:t>
      </w:r>
    </w:p>
    <w:p>
      <w:pPr>
        <w:pStyle w:val="Heading1"/>
        <w:pageBreakBefore/>
        <w:spacing w:after="160" w:before="0"/>
      </w:pPr>
      <w:r>
        <w:rPr>
          <w:rFonts w:ascii="Arial" w:cs="Arial" w:eastAsia="Arial" w:hAnsi="Arial"/>
        </w:rPr>
        <w:t xml:space="preserve">9. Fuentes y referencias</w:t>
      </w:r>
    </w:p>
    <w:p>
      <w:pPr>
        <w:pStyle w:val="ListParagraph"/>
        <w:numPr>
          <w:ilvl w:val="0"/>
          <w:numId w:val="3"/>
        </w:numPr>
        <w:spacing w:after="80" w:line="280"/>
      </w:pPr>
      <w:hyperlink w:history="1" r:id="rId4zb_cvkcbbs-f6toyi6cw">
        <w:r>
          <w:rPr>
            <w:rStyle w:val="Hyperlink"/>
            <w:rFonts w:ascii="Arial" w:cs="Arial" w:eastAsia="Arial" w:hAnsi="Arial"/>
            <w:sz w:val="22"/>
            <w:szCs w:val="22"/>
          </w:rPr>
          <w:t xml:space="preserve">Ley 27.551 de Alquileres (Argentina, 2020)</w:t>
        </w:r>
      </w:hyperlink>
    </w:p>
    <w:p>
      <w:pPr>
        <w:pStyle w:val="ListParagraph"/>
        <w:numPr>
          <w:ilvl w:val="0"/>
          <w:numId w:val="3"/>
        </w:numPr>
        <w:spacing w:after="80" w:line="280"/>
      </w:pPr>
      <w:hyperlink w:history="1" r:id="rIdyf0z4qfcmipywnhex-kji">
        <w:r>
          <w:rPr>
            <w:rStyle w:val="Hyperlink"/>
            <w:rFonts w:ascii="Arial" w:cs="Arial" w:eastAsia="Arial" w:hAnsi="Arial"/>
            <w:sz w:val="22"/>
            <w:szCs w:val="22"/>
          </w:rPr>
          <w:t xml:space="preserve">Ley 25.326 de Protección de Datos Personales (Argentina)</w:t>
        </w:r>
      </w:hyperlink>
    </w:p>
    <w:p>
      <w:pPr>
        <w:pStyle w:val="ListParagraph"/>
        <w:numPr>
          <w:ilvl w:val="0"/>
          <w:numId w:val="3"/>
        </w:numPr>
        <w:spacing w:after="80" w:line="280"/>
      </w:pPr>
      <w:hyperlink w:history="1" r:id="rIdotygdwybwki44eoib78eg">
        <w:r>
          <w:rPr>
            <w:rStyle w:val="Hyperlink"/>
            <w:rFonts w:ascii="Arial" w:cs="Arial" w:eastAsia="Arial" w:hAnsi="Arial"/>
            <w:sz w:val="22"/>
            <w:szCs w:val="22"/>
          </w:rPr>
          <w:t xml:space="preserve">Documentación de Solidity ^0.8.20</w:t>
        </w:r>
      </w:hyperlink>
    </w:p>
    <w:p>
      <w:pPr>
        <w:pStyle w:val="ListParagraph"/>
        <w:numPr>
          <w:ilvl w:val="0"/>
          <w:numId w:val="3"/>
        </w:numPr>
        <w:spacing w:after="80" w:line="280"/>
      </w:pPr>
      <w:hyperlink w:history="1" r:id="rId1k9odxbz3yxsmxudbizs9">
        <w:r>
          <w:rPr>
            <w:rStyle w:val="Hyperlink"/>
            <w:rFonts w:ascii="Arial" w:cs="Arial" w:eastAsia="Arial" w:hAnsi="Arial"/>
            <w:sz w:val="22"/>
            <w:szCs w:val="22"/>
          </w:rPr>
          <w:t xml:space="preserve">Polygon (red blockchain utilizada)</w:t>
        </w:r>
      </w:hyperlink>
    </w:p>
    <w:p>
      <w:pPr>
        <w:pStyle w:val="ListParagraph"/>
        <w:numPr>
          <w:ilvl w:val="0"/>
          <w:numId w:val="3"/>
        </w:numPr>
        <w:spacing w:after="80" w:line="280"/>
      </w:pPr>
      <w:hyperlink w:history="1" r:id="rIdk2gq3wiki1r9iffqcalmf">
        <w:r>
          <w:rPr>
            <w:rStyle w:val="Hyperlink"/>
            <w:rFonts w:ascii="Arial" w:cs="Arial" w:eastAsia="Arial" w:hAnsi="Arial"/>
            <w:sz w:val="22"/>
            <w:szCs w:val="22"/>
          </w:rPr>
          <w:t xml:space="preserve">Chainlink – Oráculos descentralizados (evaluado y descartado)</w:t>
        </w:r>
      </w:hyperlink>
    </w:p>
    <w:p>
      <w:pPr>
        <w:pStyle w:val="ListParagraph"/>
        <w:numPr>
          <w:ilvl w:val="0"/>
          <w:numId w:val="3"/>
        </w:numPr>
        <w:spacing w:after="80" w:line="280"/>
      </w:pPr>
      <w:hyperlink w:history="1" r:id="rIdyp7zkkcy3_kmyqyyaiyut">
        <w:r>
          <w:rPr>
            <w:rStyle w:val="Hyperlink"/>
            <w:rFonts w:ascii="Arial" w:cs="Arial" w:eastAsia="Arial" w:hAnsi="Arial"/>
            <w:sz w:val="22"/>
            <w:szCs w:val="22"/>
          </w:rPr>
          <w:t xml:space="preserve">Anthropic Claude – IA utilizada para definición arquitectónica</w:t>
        </w:r>
      </w:hyperlink>
    </w:p>
    <w:p>
      <w:pPr>
        <w:pStyle w:val="ListParagraph"/>
        <w:numPr>
          <w:ilvl w:val="0"/>
          <w:numId w:val="3"/>
        </w:numPr>
        <w:spacing w:after="80" w:line="280"/>
      </w:pPr>
      <w:hyperlink w:history="1" r:id="rIdid858ehvnqfpgy2avjvx6">
        <w:r>
          <w:rPr>
            <w:rStyle w:val="Hyperlink"/>
            <w:rFonts w:ascii="Arial" w:cs="Arial" w:eastAsia="Arial" w:hAnsi="Arial"/>
            <w:sz w:val="22"/>
            <w:szCs w:val="22"/>
          </w:rPr>
          <w:t xml:space="preserve">Repositorio del proyecto BlockProp</w:t>
        </w:r>
      </w:hyperlink>
    </w:p>
    <w:p>
      <w:pPr>
        <w:spacing w:after="0" w:before="400"/>
      </w:pPr>
      <w:r>
        <w:t xml:space="preserve"/>
      </w:r>
    </w:p>
    <w:p>
      <w:pPr>
        <w:jc w:val="center"/>
      </w:pPr>
      <w:r>
        <w:rPr>
          <w:rFonts w:ascii="Arial" w:cs="Arial" w:eastAsia="Arial" w:hAnsi="Arial"/>
          <w:i/>
          <w:iCs/>
          <w:color w:val="5F5E5A"/>
          <w:sz w:val="20"/>
          <w:szCs w:val="20"/>
        </w:rPr>
        <w:t xml:space="preserve">— Fin de la memoria técnica —</w:t>
      </w:r>
    </w:p>
    <w:sectPr>
      <w:headerReference w:type="default" r:id="rId7"/>
      <w:footerReference w:type="default" r:id="rId8"/>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9E75" w:sz="4" w:space="1"/>
      </w:pBdr>
      <w:jc w:val="center"/>
    </w:pPr>
    <w:r>
      <w:rPr>
        <w:rFonts w:ascii="Arial" w:cs="Arial" w:eastAsia="Arial" w:hAnsi="Arial"/>
        <w:color w:val="5F5E5A"/>
        <w:sz w:val="16"/>
        <w:szCs w:val="16"/>
      </w:rPr>
      <w:t xml:space="preserve">Página </w:t>
    </w:r>
    <w:r>
      <w:rPr>
        <w:rFonts w:ascii="Arial" w:cs="Arial" w:eastAsia="Arial" w:hAnsi="Arial"/>
        <w:color w:val="5F5E5A"/>
        <w:sz w:val="16"/>
        <w:szCs w:val="16"/>
      </w:rPr>
      <w:fldChar w:fldCharType="begin"/>
      <w:instrText xml:space="preserve">PAGE</w:instrText>
      <w:fldChar w:fldCharType="separate"/>
      <w:fldChar w:fldCharType="end"/>
    </w:r>
    <w:r>
      <w:rPr>
        <w:rFonts w:ascii="Arial" w:cs="Arial" w:eastAsia="Arial" w:hAnsi="Arial"/>
        <w:color w:val="5F5E5A"/>
        <w:sz w:val="16"/>
        <w:szCs w:val="16"/>
      </w:rPr>
      <w:t xml:space="preserve"> · github.com/maurspi/block-prop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1"/>
      </w:pBdr>
      <w:jc w:val="right"/>
    </w:pPr>
    <w:r>
      <w:rPr>
        <w:rFonts w:ascii="Arial" w:cs="Arial" w:eastAsia="Arial" w:hAnsi="Arial"/>
        <w:color w:val="5F5E5A"/>
        <w:sz w:val="16"/>
        <w:szCs w:val="16"/>
      </w:rPr>
      <w:t xml:space="preserve">BlockProp · Memoria Técnica · Hackathon T. de Comp 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F6E56"/>
      <w:sz w:val="34"/>
      <w:szCs w:val="34"/>
    </w:rPr>
  </w:style>
  <w:style w:type="paragraph" w:styleId="Heading2">
    <w:name w:val="Heading 2"/>
    <w:basedOn w:val="Normal"/>
    <w:next w:val="Normal"/>
    <w:qFormat/>
    <w:pPr>
      <w:spacing w:after="100" w:before="200"/>
      <w:outlineLvl w:val="1"/>
    </w:pPr>
    <w:rPr>
      <w:rFonts w:ascii="Arial" w:cs="Arial" w:eastAsia="Arial" w:hAnsi="Arial"/>
      <w:b/>
      <w:bCs/>
      <w:color w:val="1D9E7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eed-bdrkyps0z5iv9-e_" Type="http://schemas.openxmlformats.org/officeDocument/2006/relationships/hyperlink" Target="https://github.com/maurspi/block-prop" TargetMode="External"/><Relationship Id="rId4zb_cvkcbbs-f6toyi6cw" Type="http://schemas.openxmlformats.org/officeDocument/2006/relationships/hyperlink" Target="https://servicios.infoleg.gob.ar/infolegInternet/anexos/335000-339999/338378/norma.htm" TargetMode="External"/><Relationship Id="rIdyf0z4qfcmipywnhex-kji" Type="http://schemas.openxmlformats.org/officeDocument/2006/relationships/hyperlink" Target="https://servicios.infoleg.gob.ar/infolegInternet/anexos/60000-64999/64790/texact.htm" TargetMode="External"/><Relationship Id="rIdotygdwybwki44eoib78eg" Type="http://schemas.openxmlformats.org/officeDocument/2006/relationships/hyperlink" Target="https://docs.soliditylang.org" TargetMode="External"/><Relationship Id="rId1k9odxbz3yxsmxudbizs9" Type="http://schemas.openxmlformats.org/officeDocument/2006/relationships/hyperlink" Target="https://polygon.technology" TargetMode="External"/><Relationship Id="rIdk2gq3wiki1r9iffqcalmf" Type="http://schemas.openxmlformats.org/officeDocument/2006/relationships/hyperlink" Target="https://chain.link" TargetMode="External"/><Relationship Id="rIdyp7zkkcy3_kmyqyyaiyut" Type="http://schemas.openxmlformats.org/officeDocument/2006/relationships/hyperlink" Target="https://www.anthropic.com" TargetMode="External"/><Relationship Id="rIdid858ehvnqfpgy2avjvx6" Type="http://schemas.openxmlformats.org/officeDocument/2006/relationships/hyperlink" Target="https://github.com/maurspi/block-prop"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2026-06-20T22:25:50.427Z</dcterms:created>
  <dcterms:modified xsi:type="dcterms:W3CDTF">2026-06-20T22:25:50.440Z</dcterms:modified>
</cp:coreProperties>
</file>

<file path=docProps/custom.xml><?xml version="1.0" encoding="utf-8"?>
<Properties xmlns="http://schemas.openxmlformats.org/officeDocument/2006/custom-properties" xmlns:vt="http://schemas.openxmlformats.org/officeDocument/2006/docPropsVTypes"/>
</file>