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Calibri" w:cs="Calibri" w:eastAsia="Calibri" w:hAnsi="Calibri"/>
          <w:b/>
          <w:bCs/>
          <w:color w:val="1C3F31"/>
          <w:sz w:val="48"/>
          <w:szCs w:val="48"/>
        </w:rPr>
        <w:t xml:space="preserve">Brindabella Learn</w:t>
      </w:r>
    </w:p>
    <w:p>
      <w:pPr>
        <w:spacing w:after="500"/>
        <w:jc w:val="center"/>
      </w:pPr>
      <w:r>
        <w:rPr>
          <w:rFonts w:ascii="Calibri" w:cs="Calibri" w:eastAsia="Calibri" w:hAnsi="Calibri"/>
          <w:color w:val="2E6650"/>
          <w:sz w:val="26"/>
          <w:szCs w:val="26"/>
        </w:rPr>
        <w:t xml:space="preserve">Reflection on the design and delivery of a production-quality frontend</w:t>
      </w:r>
    </w:p>
    <w:p>
      <w:pPr>
        <w:spacing w:after="60" w:before="0" w:line="276"/>
        <w:jc w:val="center"/>
      </w:pPr>
      <w:r>
        <w:rPr>
          <w:rFonts w:ascii="Calibri" w:cs="Calibri" w:eastAsia="Calibri" w:hAnsi="Calibri"/>
          <w:b/>
          <w:bCs/>
          <w:sz w:val="22"/>
          <w:szCs w:val="22"/>
        </w:rPr>
        <w:t xml:space="preserve">ICT930 Advanced Web Application Development</w:t>
      </w:r>
    </w:p>
    <w:p>
      <w:pPr>
        <w:spacing w:after="400" w:before="0" w:line="276"/>
        <w:jc w:val="center"/>
      </w:pPr>
      <w:r>
        <w:rPr>
          <w:rFonts w:ascii="Calibri" w:cs="Calibri" w:eastAsia="Calibri" w:hAnsi="Calibri"/>
          <w:sz w:val="22"/>
          <w:szCs w:val="22"/>
        </w:rPr>
        <w:t xml:space="preserve">Assessment 2: Frontend Design Overview</w:t>
      </w:r>
    </w:p>
    <w:p>
      <w:pPr>
        <w:shd w:fill="FBEECB" w:val="clear"/>
        <w:spacing w:after="160" w:line="276"/>
      </w:pPr>
      <w:r>
        <w:rPr>
          <w:rFonts w:ascii="Calibri" w:cs="Calibri" w:eastAsia="Calibri" w:hAnsi="Calibri"/>
          <w:i/>
          <w:iCs/>
          <w:color w:val="6B4B05"/>
          <w:sz w:val="22"/>
          <w:szCs w:val="22"/>
        </w:rPr>
        <w:t xml:space="preserve">Before submitting: replace every highlighted passage in this document with your own content, add each team member’s name and student ID, and complete the individual reflections in Section 5. Those sections must be written by the students they describe.</w:t>
      </w:r>
    </w:p>
    <w:p>
      <w:pPr>
        <w:spacing w:before="300"/>
        <w:jc w:val="center"/>
      </w:pPr>
      <w:r>
        <w:rPr>
          <w:rFonts w:ascii="Calibri" w:cs="Calibri" w:eastAsia="Calibri" w:hAnsi="Calibri"/>
          <w:color w:val="5A6B76"/>
          <w:sz w:val="22"/>
          <w:szCs w:val="22"/>
        </w:rPr>
        <w:t xml:space="preserve">Prepared by</w:t>
      </w:r>
    </w:p>
    <w:p>
      <w:pPr>
        <w:spacing w:after="40" w:before="0" w:line="276"/>
        <w:jc w:val="center"/>
      </w:pPr>
      <w:r>
        <w:rPr>
          <w:rFonts w:ascii="Calibri" w:cs="Calibri" w:eastAsia="Calibri" w:hAnsi="Calibri"/>
          <w:sz w:val="22"/>
          <w:szCs w:val="22"/>
        </w:rPr>
        <w:t xml:space="preserve">[Member 1 name, student ID]  ·  [Member 2 name, student ID]</w:t>
      </w:r>
    </w:p>
    <w:p>
      <w:pPr>
        <w:spacing w:after="60" w:before="0" w:line="276"/>
        <w:jc w:val="center"/>
      </w:pPr>
      <w:r>
        <w:rPr>
          <w:rFonts w:ascii="Calibri" w:cs="Calibri" w:eastAsia="Calibri" w:hAnsi="Calibri"/>
          <w:sz w:val="22"/>
          <w:szCs w:val="22"/>
        </w:rPr>
        <w:t xml:space="preserve">[Member 3 name, student ID]  ·  [Member 4 name, student ID]</w:t>
      </w:r>
    </w:p>
    <w:p>
      <w:pPr>
        <w:spacing w:after="160" w:before="0" w:line="276"/>
        <w:jc w:val="center"/>
      </w:pPr>
      <w:r>
        <w:rPr>
          <w:rFonts w:ascii="Calibri" w:cs="Calibri" w:eastAsia="Calibri" w:hAnsi="Calibri"/>
          <w:color w:val="5A6B76"/>
          <w:sz w:val="22"/>
          <w:szCs w:val="22"/>
        </w:rPr>
        <w:t xml:space="preserve">[Unit convenor]  ·  Semester 2, 2026</w:t>
      </w:r>
    </w:p>
    <w:p>
      <w:r>
        <w:br w:type="page"/>
      </w:r>
    </w:p>
    <w:p>
      <w:pPr>
        <w:pStyle w:val="Heading1"/>
        <w:spacing w:after="160" w:before="300"/>
      </w:pPr>
      <w:r>
        <w:rPr>
          <w:rFonts w:ascii="Calibri" w:cs="Calibri" w:eastAsia="Calibri" w:hAnsi="Calibri"/>
          <w:b/>
          <w:bCs/>
          <w:color w:val="1C3F31"/>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before="0" w:line="276"/>
      </w:pPr>
      <w:r>
        <w:rPr>
          <w:rFonts w:ascii="Calibri" w:cs="Calibri" w:eastAsia="Calibri" w:hAnsi="Calibri"/>
          <w:i/>
          <w:iCs/>
          <w:color w:val="5A6B76"/>
          <w:sz w:val="22"/>
          <w:szCs w:val="22"/>
        </w:rPr>
        <w:t xml:space="preserve">(Right-click and choose “Update field” in Word to populate this table.)</w:t>
      </w:r>
    </w:p>
    <w:p>
      <w:r>
        <w:br w:type="page"/>
      </w:r>
    </w:p>
    <w:p>
      <w:pPr>
        <w:pStyle w:val="Heading1"/>
        <w:spacing w:after="160" w:before="300"/>
      </w:pPr>
      <w:r>
        <w:rPr>
          <w:rFonts w:ascii="Calibri" w:cs="Calibri" w:eastAsia="Calibri" w:hAnsi="Calibri"/>
          <w:b/>
          <w:bCs/>
          <w:color w:val="1C3F31"/>
          <w:sz w:val="30"/>
          <w:szCs w:val="30"/>
        </w:rPr>
        <w:t xml:space="preserve">1. Introduction</w:t>
      </w:r>
    </w:p>
    <w:p>
      <w:pPr>
        <w:spacing w:after="160" w:before="0" w:line="276"/>
      </w:pPr>
      <w:r>
        <w:rPr>
          <w:rFonts w:ascii="Calibri" w:cs="Calibri" w:eastAsia="Calibri" w:hAnsi="Calibri"/>
          <w:sz w:val="22"/>
          <w:szCs w:val="22"/>
        </w:rPr>
        <w:t xml:space="preserve">Brindabella Learn is a frontend application for a fictional vocational training provider operating across Canberra and online. Learners use it to discover short courses, enrol, and track their progress module by module. The team selected the Education and Training Platform domain because it exercises every mandatory requirement in the brief without contrivance: a catalogue needs search, filtering and sorting; enrolment needs asynchronous writes with confirmation; progress tracking needs shared state that several routes read and more than one route writes.</w:t>
      </w:r>
    </w:p>
    <w:p>
      <w:pPr>
        <w:spacing w:after="160" w:before="0" w:line="276"/>
      </w:pPr>
      <w:r>
        <w:rPr>
          <w:rFonts w:ascii="Calibri" w:cs="Calibri" w:eastAsia="Calibri" w:hAnsi="Calibri"/>
          <w:sz w:val="22"/>
          <w:szCs w:val="22"/>
        </w:rPr>
        <w:t xml:space="preserve">This reflection covers the architectural decisions the team made and the reasoning behind them, the problems encountered during implementation and how they were resolved, why the application is representative of current industry practice, and what each member took from the work.</w:t>
      </w:r>
    </w:p>
    <w:p>
      <w:pPr>
        <w:pStyle w:val="Heading1"/>
        <w:spacing w:after="160" w:before="300"/>
      </w:pPr>
      <w:r>
        <w:rPr>
          <w:rFonts w:ascii="Calibri" w:cs="Calibri" w:eastAsia="Calibri" w:hAnsi="Calibri"/>
          <w:b/>
          <w:bCs/>
          <w:color w:val="1C3F31"/>
          <w:sz w:val="30"/>
          <w:szCs w:val="30"/>
        </w:rPr>
        <w:t xml:space="preserve">2. Architectural choices</w:t>
      </w:r>
    </w:p>
    <w:p>
      <w:pPr>
        <w:pStyle w:val="Heading2"/>
        <w:spacing w:after="160" w:before="300"/>
      </w:pPr>
      <w:r>
        <w:rPr>
          <w:rFonts w:ascii="Calibri" w:cs="Calibri" w:eastAsia="Calibri" w:hAnsi="Calibri"/>
          <w:b/>
          <w:bCs/>
          <w:color w:val="1C3F31"/>
          <w:sz w:val="25"/>
          <w:szCs w:val="25"/>
        </w:rPr>
        <w:t xml:space="preserve">2.1 Component architecture</w:t>
      </w:r>
    </w:p>
    <w:p>
      <w:pPr>
        <w:spacing w:after="160" w:before="0" w:line="276"/>
      </w:pPr>
      <w:r>
        <w:rPr>
          <w:rFonts w:ascii="Calibri" w:cs="Calibri" w:eastAsia="Calibri" w:hAnsi="Calibri"/>
          <w:sz w:val="22"/>
          <w:szCs w:val="22"/>
        </w:rPr>
        <w:t xml:space="preserve">The application is organised into three layers with a single direction of dependency. Pages compose feature components, feature components compose UI primitives, and nothing below reaches back up. A page such as CataloguePage owns its filter state and its data access; CourseCard, which it renders, receives a course and an optional enrolment as props and renders them. CourseCard holds no state and issues no requests.</w:t>
      </w:r>
    </w:p>
    <w:p>
      <w:pPr>
        <w:spacing w:after="160" w:before="0" w:line="276"/>
      </w:pPr>
      <w:r>
        <w:rPr>
          <w:rFonts w:ascii="Calibri" w:cs="Calibri" w:eastAsia="Calibri" w:hAnsi="Calibri"/>
          <w:sz w:val="22"/>
          <w:szCs w:val="22"/>
        </w:rPr>
        <w:t xml:space="preserve">That discipline produced the reuse the team wanted. CourseCard appears on the dashboard as a recommendation, in the catalogue as a search result, and would drop into a saved-courses view unchanged. The same is true of the UI primitives: one Button component covers a real button, an internal route link and an external anchor, which means a navigation link and a submit action can never drift apart visually. The Field components wrap every input with a real label, hint text and error message wired through aria-describedby, so accessibility is inherited by every form rather than reimplemented in each one.</w:t>
      </w:r>
    </w:p>
    <w:p>
      <w:pPr>
        <w:spacing w:after="160" w:before="0" w:line="276"/>
      </w:pPr>
      <w:r>
        <w:rPr>
          <w:rFonts w:ascii="Calibri" w:cs="Calibri" w:eastAsia="Calibri" w:hAnsi="Calibri"/>
          <w:sz w:val="22"/>
          <w:szCs w:val="22"/>
        </w:rPr>
        <w:t xml:space="preserve">The team resisted the pull toward a small number of large page components. The test applied during review was whether a piece of markup would be understandable in isolation; when it would, it was extracted.</w:t>
      </w:r>
    </w:p>
    <w:p>
      <w:pPr>
        <w:pStyle w:val="Heading2"/>
        <w:spacing w:after="160" w:before="300"/>
      </w:pPr>
      <w:r>
        <w:rPr>
          <w:rFonts w:ascii="Calibri" w:cs="Calibri" w:eastAsia="Calibri" w:hAnsi="Calibri"/>
          <w:b/>
          <w:bCs/>
          <w:color w:val="1C3F31"/>
          <w:sz w:val="25"/>
          <w:szCs w:val="25"/>
        </w:rPr>
        <w:t xml:space="preserve">2.2 State management</w:t>
      </w:r>
    </w:p>
    <w:p>
      <w:pPr>
        <w:spacing w:after="160" w:before="0" w:line="276"/>
      </w:pPr>
      <w:r>
        <w:rPr>
          <w:rFonts w:ascii="Calibri" w:cs="Calibri" w:eastAsia="Calibri" w:hAnsi="Calibri"/>
          <w:sz w:val="22"/>
          <w:szCs w:val="22"/>
        </w:rPr>
        <w:t xml:space="preserve">State was split by ownership and by how often it changes, rather than being consolidated into one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DCEAE3" w:val="clear"/>
            <w:tcMar>
              <w:top w:type="dxa" w:w="80"/>
              <w:left w:type="dxa" w:w="110"/>
              <w:bottom w:type="dxa" w:w="80"/>
              <w:right w:type="dxa" w:w="110"/>
            </w:tcMar>
          </w:tcPr>
          <w:p>
            <w:pPr>
              <w:spacing w:after="0" w:line="260"/>
            </w:pPr>
            <w:r>
              <w:rPr>
                <w:rFonts w:ascii="Calibri" w:cs="Calibri" w:eastAsia="Calibri" w:hAnsi="Calibri"/>
                <w:b/>
                <w:bCs/>
                <w:sz w:val="20"/>
                <w:szCs w:val="20"/>
              </w:rPr>
              <w:t xml:space="preserve">Context</w:t>
            </w:r>
          </w:p>
        </w:tc>
        <w:tc>
          <w:tcPr>
            <w:tcW w:type="dxa" w:w="3400"/>
            <w:shd w:fill="DCEAE3" w:val="clear"/>
            <w:tcMar>
              <w:top w:type="dxa" w:w="80"/>
              <w:left w:type="dxa" w:w="110"/>
              <w:bottom w:type="dxa" w:w="80"/>
              <w:right w:type="dxa" w:w="110"/>
            </w:tcMar>
          </w:tcPr>
          <w:p>
            <w:pPr>
              <w:spacing w:after="0" w:line="260"/>
            </w:pPr>
            <w:r>
              <w:rPr>
                <w:rFonts w:ascii="Calibri" w:cs="Calibri" w:eastAsia="Calibri" w:hAnsi="Calibri"/>
                <w:b/>
                <w:bCs/>
                <w:sz w:val="20"/>
                <w:szCs w:val="20"/>
              </w:rPr>
              <w:t xml:space="preserve">Holds</w:t>
            </w:r>
          </w:p>
        </w:tc>
        <w:tc>
          <w:tcPr>
            <w:tcW w:type="dxa" w:w="3660"/>
            <w:shd w:fill="DCEAE3" w:val="clear"/>
            <w:tcMar>
              <w:top w:type="dxa" w:w="80"/>
              <w:left w:type="dxa" w:w="110"/>
              <w:bottom w:type="dxa" w:w="80"/>
              <w:right w:type="dxa" w:w="110"/>
            </w:tcMar>
          </w:tcPr>
          <w:p>
            <w:pPr>
              <w:spacing w:after="0" w:line="260"/>
            </w:pPr>
            <w:r>
              <w:rPr>
                <w:rFonts w:ascii="Calibri" w:cs="Calibri" w:eastAsia="Calibri" w:hAnsi="Calibri"/>
                <w:b/>
                <w:bCs/>
                <w:sz w:val="20"/>
                <w:szCs w:val="20"/>
              </w:rPr>
              <w:t xml:space="preserve">Changes</w:t>
            </w:r>
          </w:p>
        </w:tc>
      </w:tr>
      <w:tr>
        <w:tc>
          <w:tcPr>
            <w:tcW w:type="dxa" w:w="2300"/>
            <w:tcMar>
              <w:top w:type="dxa" w:w="80"/>
              <w:left w:type="dxa" w:w="110"/>
              <w:bottom w:type="dxa" w:w="80"/>
              <w:right w:type="dxa" w:w="110"/>
            </w:tcMar>
          </w:tcPr>
          <w:p>
            <w:pPr>
              <w:spacing w:after="0" w:line="260"/>
            </w:pPr>
            <w:r>
              <w:rPr>
                <w:rFonts w:ascii="Calibri" w:cs="Calibri" w:eastAsia="Calibri" w:hAnsi="Calibri"/>
                <w:sz w:val="20"/>
                <w:szCs w:val="20"/>
              </w:rPr>
              <w:t xml:space="preserve">CatalogueContext</w:t>
            </w:r>
          </w:p>
        </w:tc>
        <w:tc>
          <w:tcPr>
            <w:tcW w:type="dxa" w:w="3400"/>
            <w:tcMar>
              <w:top w:type="dxa" w:w="80"/>
              <w:left w:type="dxa" w:w="110"/>
              <w:bottom w:type="dxa" w:w="80"/>
              <w:right w:type="dxa" w:w="110"/>
            </w:tcMar>
          </w:tcPr>
          <w:p>
            <w:pPr>
              <w:spacing w:after="0" w:line="260"/>
            </w:pPr>
            <w:r>
              <w:rPr>
                <w:rFonts w:ascii="Calibri" w:cs="Calibri" w:eastAsia="Calibri" w:hAnsi="Calibri"/>
                <w:sz w:val="20"/>
                <w:szCs w:val="20"/>
              </w:rPr>
              <w:t xml:space="preserve">Courses and instructors, joined</w:t>
            </w:r>
          </w:p>
        </w:tc>
        <w:tc>
          <w:tcPr>
            <w:tcW w:type="dxa" w:w="3660"/>
            <w:tcMar>
              <w:top w:type="dxa" w:w="80"/>
              <w:left w:type="dxa" w:w="110"/>
              <w:bottom w:type="dxa" w:w="80"/>
              <w:right w:type="dxa" w:w="110"/>
            </w:tcMar>
          </w:tcPr>
          <w:p>
            <w:pPr>
              <w:spacing w:after="0" w:line="260"/>
            </w:pPr>
            <w:r>
              <w:rPr>
                <w:rFonts w:ascii="Calibri" w:cs="Calibri" w:eastAsia="Calibri" w:hAnsi="Calibri"/>
                <w:sz w:val="20"/>
                <w:szCs w:val="20"/>
              </w:rPr>
              <w:t xml:space="preserve">Once, when the app loads</w:t>
            </w:r>
          </w:p>
        </w:tc>
      </w:tr>
      <w:tr>
        <w:tc>
          <w:tcPr>
            <w:tcW w:type="dxa" w:w="2300"/>
            <w:tcMar>
              <w:top w:type="dxa" w:w="80"/>
              <w:left w:type="dxa" w:w="110"/>
              <w:bottom w:type="dxa" w:w="80"/>
              <w:right w:type="dxa" w:w="110"/>
            </w:tcMar>
          </w:tcPr>
          <w:p>
            <w:pPr>
              <w:spacing w:after="0" w:line="260"/>
            </w:pPr>
            <w:r>
              <w:rPr>
                <w:rFonts w:ascii="Calibri" w:cs="Calibri" w:eastAsia="Calibri" w:hAnsi="Calibri"/>
                <w:sz w:val="20"/>
                <w:szCs w:val="20"/>
              </w:rPr>
              <w:t xml:space="preserve">LearnerContext</w:t>
            </w:r>
          </w:p>
        </w:tc>
        <w:tc>
          <w:tcPr>
            <w:tcW w:type="dxa" w:w="3400"/>
            <w:tcMar>
              <w:top w:type="dxa" w:w="80"/>
              <w:left w:type="dxa" w:w="110"/>
              <w:bottom w:type="dxa" w:w="80"/>
              <w:right w:type="dxa" w:w="110"/>
            </w:tcMar>
          </w:tcPr>
          <w:p>
            <w:pPr>
              <w:spacing w:after="0" w:line="260"/>
            </w:pPr>
            <w:r>
              <w:rPr>
                <w:rFonts w:ascii="Calibri" w:cs="Calibri" w:eastAsia="Calibri" w:hAnsi="Calibri"/>
                <w:sz w:val="20"/>
                <w:szCs w:val="20"/>
              </w:rPr>
              <w:t xml:space="preserve">Profile and enrolments</w:t>
            </w:r>
          </w:p>
        </w:tc>
        <w:tc>
          <w:tcPr>
            <w:tcW w:type="dxa" w:w="3660"/>
            <w:tcMar>
              <w:top w:type="dxa" w:w="80"/>
              <w:left w:type="dxa" w:w="110"/>
              <w:bottom w:type="dxa" w:w="80"/>
              <w:right w:type="dxa" w:w="110"/>
            </w:tcMar>
          </w:tcPr>
          <w:p>
            <w:pPr>
              <w:spacing w:after="0" w:line="260"/>
            </w:pPr>
            <w:r>
              <w:rPr>
                <w:rFonts w:ascii="Calibri" w:cs="Calibri" w:eastAsia="Calibri" w:hAnsi="Calibri"/>
                <w:sz w:val="20"/>
                <w:szCs w:val="20"/>
              </w:rPr>
              <w:t xml:space="preserve">On user action</w:t>
            </w:r>
          </w:p>
        </w:tc>
      </w:tr>
      <w:tr>
        <w:tc>
          <w:tcPr>
            <w:tcW w:type="dxa" w:w="2300"/>
            <w:tcMar>
              <w:top w:type="dxa" w:w="80"/>
              <w:left w:type="dxa" w:w="110"/>
              <w:bottom w:type="dxa" w:w="80"/>
              <w:right w:type="dxa" w:w="110"/>
            </w:tcMar>
          </w:tcPr>
          <w:p>
            <w:pPr>
              <w:spacing w:after="0" w:line="260"/>
            </w:pPr>
            <w:r>
              <w:rPr>
                <w:rFonts w:ascii="Calibri" w:cs="Calibri" w:eastAsia="Calibri" w:hAnsi="Calibri"/>
                <w:sz w:val="20"/>
                <w:szCs w:val="20"/>
              </w:rPr>
              <w:t xml:space="preserve">ToastContext</w:t>
            </w:r>
          </w:p>
        </w:tc>
        <w:tc>
          <w:tcPr>
            <w:tcW w:type="dxa" w:w="3400"/>
            <w:tcMar>
              <w:top w:type="dxa" w:w="80"/>
              <w:left w:type="dxa" w:w="110"/>
              <w:bottom w:type="dxa" w:w="80"/>
              <w:right w:type="dxa" w:w="110"/>
            </w:tcMar>
          </w:tcPr>
          <w:p>
            <w:pPr>
              <w:spacing w:after="0" w:line="260"/>
            </w:pPr>
            <w:r>
              <w:rPr>
                <w:rFonts w:ascii="Calibri" w:cs="Calibri" w:eastAsia="Calibri" w:hAnsi="Calibri"/>
                <w:sz w:val="20"/>
                <w:szCs w:val="20"/>
              </w:rPr>
              <w:t xml:space="preserve">Queued confirmation messages</w:t>
            </w:r>
          </w:p>
        </w:tc>
        <w:tc>
          <w:tcPr>
            <w:tcW w:type="dxa" w:w="3660"/>
            <w:tcMar>
              <w:top w:type="dxa" w:w="80"/>
              <w:left w:type="dxa" w:w="110"/>
              <w:bottom w:type="dxa" w:w="80"/>
              <w:right w:type="dxa" w:w="110"/>
            </w:tcMar>
          </w:tcPr>
          <w:p>
            <w:pPr>
              <w:spacing w:after="0" w:line="260"/>
            </w:pPr>
            <w:r>
              <w:rPr>
                <w:rFonts w:ascii="Calibri" w:cs="Calibri" w:eastAsia="Calibri" w:hAnsi="Calibri"/>
                <w:sz w:val="20"/>
                <w:szCs w:val="20"/>
              </w:rPr>
              <w:t xml:space="preserve">Frequently, for a few seconds</w:t>
            </w:r>
          </w:p>
        </w:tc>
      </w:tr>
    </w:tbl>
    <w:p>
      <w:pPr>
        <w:spacing w:after="160" w:before="200" w:line="276"/>
      </w:pPr>
      <w:r>
        <w:rPr>
          <w:rFonts w:ascii="Calibri" w:cs="Calibri" w:eastAsia="Calibri" w:hAnsi="Calibri"/>
          <w:sz w:val="22"/>
          <w:szCs w:val="22"/>
        </w:rPr>
        <w:t xml:space="preserve">The reasoning is a rendering concern. If a single context held all three, every course card in the catalogue would re-render each time a toast appeared and disappeared. Splitting them means a toast affects only the toast region.</w:t>
      </w:r>
    </w:p>
    <w:p>
      <w:pPr>
        <w:spacing w:after="160" w:before="0" w:line="276"/>
      </w:pPr>
      <w:r>
        <w:rPr>
          <w:rFonts w:ascii="Calibri" w:cs="Calibri" w:eastAsia="Calibri" w:hAnsi="Calibri"/>
          <w:sz w:val="22"/>
          <w:szCs w:val="22"/>
        </w:rPr>
        <w:t xml:space="preserve">The team considered Redux Toolkit and Zustand. Both were rejected: with three stores this small they would have added a dependency, a set of conventions to learn, and a layer of indirection between an action and its effect, without removing a problem the application actually has. That decision would be revisited if the app grew server-side mutations that needed optimistic updates and rollback.</w:t>
      </w:r>
    </w:p>
    <w:p>
      <w:pPr>
        <w:spacing w:after="160" w:before="0" w:line="276"/>
      </w:pPr>
      <w:r>
        <w:rPr>
          <w:rFonts w:ascii="Calibri" w:cs="Calibri" w:eastAsia="Calibri" w:hAnsi="Calibri"/>
          <w:sz w:val="22"/>
          <w:szCs w:val="22"/>
        </w:rPr>
        <w:t xml:space="preserve">Local state stayed local: dialog open and closed, form values, the active tab and the search draft all live in the component that owns them.</w:t>
      </w:r>
    </w:p>
    <w:p>
      <w:pPr>
        <w:pStyle w:val="Heading2"/>
        <w:spacing w:after="160" w:before="300"/>
      </w:pPr>
      <w:r>
        <w:rPr>
          <w:rFonts w:ascii="Calibri" w:cs="Calibri" w:eastAsia="Calibri" w:hAnsi="Calibri"/>
          <w:b/>
          <w:bCs/>
          <w:color w:val="1C3F31"/>
          <w:sz w:val="25"/>
          <w:szCs w:val="25"/>
        </w:rPr>
        <w:t xml:space="preserve">2.3 Routing and URL as state</w:t>
      </w:r>
    </w:p>
    <w:p>
      <w:pPr>
        <w:spacing w:after="160" w:before="0" w:line="276"/>
      </w:pPr>
      <w:r>
        <w:rPr>
          <w:rFonts w:ascii="Calibri" w:cs="Calibri" w:eastAsia="Calibri" w:hAnsi="Calibri"/>
          <w:sz w:val="22"/>
          <w:szCs w:val="22"/>
        </w:rPr>
        <w:t xml:space="preserve">React Router 6 provides six routes plus a catch-all, arranged as nested layout routes so the navigation and footer render once rather than per page. The decision the team is most pleased with is holding the catalogue’s filters in the query string rather than in component state. A filtered catalogue is therefore a shareable link, it survives a refresh, and the browser back button steps through filter changes — behaviour people already expect of search results and are quietly annoyed by when it is missing. The search text is mirrored in local state so typing stays instant, then debounced at 250 milliseconds before it reaches the URL and the filtering work.</w:t>
      </w:r>
    </w:p>
    <w:p>
      <w:pPr>
        <w:spacing w:after="160" w:before="0" w:line="276"/>
      </w:pPr>
      <w:r>
        <w:rPr>
          <w:rFonts w:ascii="Calibri" w:cs="Calibri" w:eastAsia="Calibri" w:hAnsi="Calibri"/>
          <w:sz w:val="22"/>
          <w:szCs w:val="22"/>
        </w:rPr>
        <w:t xml:space="preserve">Client-side routing also creates a problem that is easy to miss. A full page load moves focus and resets scroll; a client-side route change does neither, so a keyboard user lands on a new page with focus still on the link they pressed and a screen reader user gets no signal that anything happened. The application therefore moves focus to the main landmark, resets scroll, and updates the document title on every route change.</w:t>
      </w:r>
    </w:p>
    <w:p>
      <w:pPr>
        <w:pStyle w:val="Heading2"/>
        <w:spacing w:after="160" w:before="300"/>
      </w:pPr>
      <w:r>
        <w:rPr>
          <w:rFonts w:ascii="Calibri" w:cs="Calibri" w:eastAsia="Calibri" w:hAnsi="Calibri"/>
          <w:b/>
          <w:bCs/>
          <w:color w:val="1C3F31"/>
          <w:sz w:val="25"/>
          <w:szCs w:val="25"/>
        </w:rPr>
        <w:t xml:space="preserve">2.4 Data handling</w:t>
      </w:r>
    </w:p>
    <w:p>
      <w:pPr>
        <w:spacing w:after="160" w:before="0" w:line="276"/>
      </w:pPr>
      <w:r>
        <w:rPr>
          <w:rFonts w:ascii="Calibri" w:cs="Calibri" w:eastAsia="Calibri" w:hAnsi="Calibri"/>
          <w:sz w:val="22"/>
          <w:szCs w:val="22"/>
        </w:rPr>
        <w:t xml:space="preserve">Mock JSON is served from the public directory and retrieved with fetch rather than imported as a module. Importing it would have bundled the data at build time and removed the asynchronous boundary entirely, making the loading and error states decorative. Fetching it means the application meets the same failure modes and abort semantics it would against a real API, and swapping in a real backend is a change to one constant.</w:t>
      </w:r>
    </w:p>
    <w:p>
      <w:pPr>
        <w:spacing w:after="160" w:before="0" w:line="276"/>
      </w:pPr>
      <w:r>
        <w:rPr>
          <w:rFonts w:ascii="Calibri" w:cs="Calibri" w:eastAsia="Calibri" w:hAnsi="Calibri"/>
          <w:sz w:val="22"/>
          <w:szCs w:val="22"/>
        </w:rPr>
        <w:t xml:space="preserve">All fetching goes through a single useAsync hook that exposes loading, error and data, aborts in-flight requests on unmount, and ignores responses from superseded requests. That last point solved a race condition the team hit early, described in the next section.</w:t>
      </w:r>
    </w:p>
    <w:p>
      <w:pPr>
        <w:pStyle w:val="Heading1"/>
        <w:spacing w:after="160" w:before="300"/>
      </w:pPr>
      <w:r>
        <w:rPr>
          <w:rFonts w:ascii="Calibri" w:cs="Calibri" w:eastAsia="Calibri" w:hAnsi="Calibri"/>
          <w:b/>
          <w:bCs/>
          <w:color w:val="1C3F31"/>
          <w:sz w:val="30"/>
          <w:szCs w:val="30"/>
        </w:rPr>
        <w:t xml:space="preserve">3. Challenges and solutions</w:t>
      </w:r>
    </w:p>
    <w:p>
      <w:pPr>
        <w:pStyle w:val="Heading2"/>
        <w:spacing w:after="160" w:before="300"/>
      </w:pPr>
      <w:r>
        <w:rPr>
          <w:rFonts w:ascii="Calibri" w:cs="Calibri" w:eastAsia="Calibri" w:hAnsi="Calibri"/>
          <w:b/>
          <w:bCs/>
          <w:color w:val="1C3F31"/>
          <w:sz w:val="25"/>
          <w:szCs w:val="25"/>
        </w:rPr>
        <w:t xml:space="preserve">3.1 A race condition between fast and slow requests</w:t>
      </w:r>
    </w:p>
    <w:p>
      <w:pPr>
        <w:spacing w:after="160" w:before="0" w:line="276"/>
      </w:pPr>
      <w:r>
        <w:rPr>
          <w:rFonts w:ascii="Calibri" w:cs="Calibri" w:eastAsia="Calibri" w:hAnsi="Calibri"/>
          <w:sz w:val="22"/>
          <w:szCs w:val="22"/>
        </w:rPr>
        <w:t xml:space="preserve">The first implementation of data fetching set state directly in an effect with no cancellation. Under a throttled connection, navigating quickly between two courses produced the wrong content: the first request resolved after the second and overwrote it.</w:t>
      </w:r>
    </w:p>
    <w:p>
      <w:pPr>
        <w:spacing w:after="160" w:before="0" w:line="276"/>
      </w:pPr>
      <w:r>
        <w:rPr>
          <w:rFonts w:ascii="Calibri" w:cs="Calibri" w:eastAsia="Calibri" w:hAnsi="Calibri"/>
          <w:sz w:val="22"/>
          <w:szCs w:val="22"/>
        </w:rPr>
        <w:t xml:space="preserve">The fix was to give useAsync an AbortController, abort the previous request whenever a new one starts, and track mount status in a ref so a late response is discarded. The bug was worth having early: it is invisible on a fast local connection and would otherwise have surfaced only after deployment.</w:t>
      </w:r>
    </w:p>
    <w:p>
      <w:pPr>
        <w:pStyle w:val="Heading2"/>
        <w:spacing w:after="160" w:before="300"/>
      </w:pPr>
      <w:r>
        <w:rPr>
          <w:rFonts w:ascii="Calibri" w:cs="Calibri" w:eastAsia="Calibri" w:hAnsi="Calibri"/>
          <w:b/>
          <w:bCs/>
          <w:color w:val="1C3F31"/>
          <w:sz w:val="25"/>
          <w:szCs w:val="25"/>
        </w:rPr>
        <w:t xml:space="preserve">3.2 Focus management in dialogs</w:t>
      </w:r>
    </w:p>
    <w:p>
      <w:pPr>
        <w:spacing w:after="160" w:before="0" w:line="276"/>
      </w:pPr>
      <w:r>
        <w:rPr>
          <w:rFonts w:ascii="Calibri" w:cs="Calibri" w:eastAsia="Calibri" w:hAnsi="Calibri"/>
          <w:sz w:val="22"/>
          <w:szCs w:val="22"/>
        </w:rPr>
        <w:t xml:space="preserve">The first version of the enrolment dialog looked correct and was unusable by keyboard: Tab moved focus into the page behind it, Escape did nothing, and closing left focus nowhere. The team wrote a useFocusTrap hook that cycles Tab within the dialog, closes on Escape, locks background scroll and returns focus to the element that opened it. Unplugging the mouse for ten minutes found more problems than reading the specification did.</w:t>
      </w:r>
    </w:p>
    <w:p>
      <w:pPr>
        <w:pStyle w:val="Heading2"/>
        <w:spacing w:after="160" w:before="300"/>
      </w:pPr>
      <w:r>
        <w:rPr>
          <w:rFonts w:ascii="Calibri" w:cs="Calibri" w:eastAsia="Calibri" w:hAnsi="Calibri"/>
          <w:b/>
          <w:bCs/>
          <w:color w:val="1C3F31"/>
          <w:sz w:val="25"/>
          <w:szCs w:val="25"/>
        </w:rPr>
        <w:t xml:space="preserve">3.3 A false start on styling</w:t>
      </w:r>
    </w:p>
    <w:p>
      <w:pPr>
        <w:spacing w:after="160" w:before="0" w:line="276"/>
      </w:pPr>
      <w:r>
        <w:rPr>
          <w:rFonts w:ascii="Calibri" w:cs="Calibri" w:eastAsia="Calibri" w:hAnsi="Calibri"/>
          <w:sz w:val="22"/>
          <w:szCs w:val="22"/>
        </w:rPr>
        <w:t xml:space="preserve">The team began with ad hoc class names and hard-coded colours, and by the fourth component the same green existed in three slightly different hexadecimal values. The work was paused and a token layer written: colour, type scale, spacing, radius and motion defined as custom properties in one file, with no raw hex values permitted in component styles. Retrofitting cost about half a day, and made a later decision — changing the focus ring to wattle gold so it would be visible against both the light background and the dark green surfaces — a single-line change instead of a hunt.</w:t>
      </w:r>
    </w:p>
    <w:p>
      <w:pPr>
        <w:pStyle w:val="Heading2"/>
        <w:spacing w:after="160" w:before="300"/>
      </w:pPr>
      <w:r>
        <w:rPr>
          <w:rFonts w:ascii="Calibri" w:cs="Calibri" w:eastAsia="Calibri" w:hAnsi="Calibri"/>
          <w:b/>
          <w:bCs/>
          <w:color w:val="1C3F31"/>
          <w:sz w:val="25"/>
          <w:szCs w:val="25"/>
        </w:rPr>
        <w:t xml:space="preserve">3.4 Contrast against an accent colour</w:t>
      </w:r>
    </w:p>
    <w:p>
      <w:pPr>
        <w:spacing w:after="160" w:before="0" w:line="276"/>
      </w:pPr>
      <w:r>
        <w:rPr>
          <w:rFonts w:ascii="Calibri" w:cs="Calibri" w:eastAsia="Calibri" w:hAnsi="Calibri"/>
          <w:sz w:val="22"/>
          <w:szCs w:val="22"/>
        </w:rPr>
        <w:t xml:space="preserve">The wattle gold chosen as the accent measures roughly 2:1 against white, well short of the 4.5:1 that WCAG 2.2 requires for body text. The team kept the colour but constrained its role: gold is used for fills, borders, focus rings and progress indicators, and where gold-toned text is needed a darker variant is substituted. This was a useful lesson in the difference between a palette and a system of roles — a colour is not accessible or inaccessible on its own, only in the job it is given.</w:t>
      </w:r>
    </w:p>
    <w:p>
      <w:pPr>
        <w:pStyle w:val="Heading2"/>
        <w:spacing w:after="160" w:before="300"/>
      </w:pPr>
      <w:r>
        <w:rPr>
          <w:rFonts w:ascii="Calibri" w:cs="Calibri" w:eastAsia="Calibri" w:hAnsi="Calibri"/>
          <w:b/>
          <w:bCs/>
          <w:color w:val="1C3F31"/>
          <w:sz w:val="25"/>
          <w:szCs w:val="25"/>
        </w:rPr>
        <w:t xml:space="preserve">3.5 Coordinating four people in one codebase</w:t>
      </w:r>
    </w:p>
    <w:p>
      <w:pPr>
        <w:shd w:fill="FBEECB" w:val="clear"/>
        <w:spacing w:after="160" w:line="276"/>
      </w:pPr>
      <w:r>
        <w:rPr>
          <w:rFonts w:ascii="Calibri" w:cs="Calibri" w:eastAsia="Calibri" w:hAnsi="Calibri"/>
          <w:i/>
          <w:iCs/>
          <w:color w:val="6B4B05"/>
          <w:sz w:val="22"/>
          <w:szCs w:val="22"/>
        </w:rPr>
        <w:t xml:space="preserve">Replace this paragraph with your team’s actual experience. Useful things to describe honestly: how you divided work, a merge conflict that cost real time and what you changed afterwards, a decision the team disagreed on and how it was settled, and what you would do differently on the next project. Markers can compare this against your commit history, so write what happened.</w:t>
      </w:r>
    </w:p>
    <w:p>
      <w:pPr>
        <w:pStyle w:val="Heading1"/>
        <w:spacing w:after="160" w:before="300"/>
      </w:pPr>
      <w:r>
        <w:rPr>
          <w:rFonts w:ascii="Calibri" w:cs="Calibri" w:eastAsia="Calibri" w:hAnsi="Calibri"/>
          <w:b/>
          <w:bCs/>
          <w:color w:val="1C3F31"/>
          <w:sz w:val="30"/>
          <w:szCs w:val="30"/>
        </w:rPr>
        <w:t xml:space="preserve">4. Industry relevance</w:t>
      </w:r>
    </w:p>
    <w:p>
      <w:pPr>
        <w:spacing w:after="160" w:before="0" w:line="276"/>
      </w:pPr>
      <w:r>
        <w:rPr>
          <w:rFonts w:ascii="Calibri" w:cs="Calibri" w:eastAsia="Calibri" w:hAnsi="Calibri"/>
          <w:sz w:val="22"/>
          <w:szCs w:val="22"/>
        </w:rPr>
        <w:t xml:space="preserve">The brief describes a scenario in which the backend already exists and a frontend team is responsible for delivering the user experience. That is the ordinary condition of frontend work. The patterns this application uses are the ones that condition produces.</w:t>
      </w:r>
    </w:p>
    <w:p>
      <w:pPr>
        <w:spacing w:after="160" w:before="0" w:line="276"/>
      </w:pPr>
      <w:r>
        <w:rPr>
          <w:rFonts w:ascii="Calibri" w:cs="Calibri" w:eastAsia="Calibri" w:hAnsi="Calibri"/>
          <w:sz w:val="22"/>
          <w:szCs w:val="22"/>
        </w:rPr>
        <w:t xml:space="preserve">Component-driven development with a shared primitive layer is how teams keep an interface consistent as it grows, and it is the premise behind design systems such as the Australian Government Design System. Client-side routing with lazy-loaded bundles is standard for any application beyond a handful of screens; here it keeps the initial JavaScript payload near 62 KB compressed. Treating loading, error and empty as first-class states is the difference between an application that demonstrates well and one that survives a poor mobile connection.</w:t>
      </w:r>
    </w:p>
    <w:p>
      <w:pPr>
        <w:spacing w:after="160" w:before="0" w:line="276"/>
      </w:pPr>
      <w:r>
        <w:rPr>
          <w:rFonts w:ascii="Calibri" w:cs="Calibri" w:eastAsia="Calibri" w:hAnsi="Calibri"/>
          <w:sz w:val="22"/>
          <w:szCs w:val="22"/>
        </w:rPr>
        <w:t xml:space="preserve">Accessibility carries particular weight in the Canberra context this application is set in. Australian Government digital services are required to meet WCAG 2.2 level AA, and the Disability Discrimination Act 1992 makes inaccessible services a legal exposure rather than a matter of goodwill. A graduate who can explain why an error summary takes focus on submit, or why a dialog must return focus on close, is describing a requirement rather than a preference.</w:t>
      </w:r>
    </w:p>
    <w:p>
      <w:pPr>
        <w:spacing w:after="160" w:before="0" w:line="276"/>
      </w:pPr>
      <w:r>
        <w:rPr>
          <w:rFonts w:ascii="Calibri" w:cs="Calibri" w:eastAsia="Calibri" w:hAnsi="Calibri"/>
          <w:sz w:val="22"/>
          <w:szCs w:val="22"/>
        </w:rPr>
        <w:t xml:space="preserve">The remaining practices — linting with an accessibility plugin, a formatter to remove style from code review, meaningful commits, a README that lets a stranger run the project — are the parts of professional work that are invisible when present and expensive when absent.</w:t>
      </w:r>
    </w:p>
    <w:p>
      <w:pPr>
        <w:pStyle w:val="Heading1"/>
        <w:spacing w:after="160" w:before="300"/>
      </w:pPr>
      <w:r>
        <w:rPr>
          <w:rFonts w:ascii="Calibri" w:cs="Calibri" w:eastAsia="Calibri" w:hAnsi="Calibri"/>
          <w:b/>
          <w:bCs/>
          <w:color w:val="1C3F31"/>
          <w:sz w:val="30"/>
          <w:szCs w:val="30"/>
        </w:rPr>
        <w:t xml:space="preserve">5. Individual reflections</w:t>
      </w:r>
    </w:p>
    <w:p>
      <w:pPr>
        <w:shd w:fill="FBEECB" w:val="clear"/>
        <w:spacing w:after="160" w:line="276"/>
      </w:pPr>
      <w:r>
        <w:rPr>
          <w:rFonts w:ascii="Calibri" w:cs="Calibri" w:eastAsia="Calibri" w:hAnsi="Calibri"/>
          <w:i/>
          <w:iCs/>
          <w:color w:val="6B4B05"/>
          <w:sz w:val="22"/>
          <w:szCs w:val="22"/>
        </w:rPr>
        <w:t xml:space="preserve">Each member writes their own paragraphs below. Cover what you were responsible for, the hardest thing you personally worked through, and one thing you would do differently. Write about specific commits and specific problems — generic paragraphs are visibly generic, and this section carries marks under criterion 6. Word budget: sections 1 to 6 currently run to about 1,600 words once the highlighted boxes are deleted, so keep each member to roughly 80 words and section 3.5 to about 120. That lands the document near 1,990 — inside the 1,500 to 2,000 range. Check the count in Word before you submit.</w:t>
      </w:r>
    </w:p>
    <w:p>
      <w:pPr>
        <w:pStyle w:val="Heading2"/>
        <w:spacing w:after="160" w:before="300"/>
      </w:pPr>
      <w:r>
        <w:rPr>
          <w:rFonts w:ascii="Calibri" w:cs="Calibri" w:eastAsia="Calibri" w:hAnsi="Calibri"/>
          <w:b/>
          <w:bCs/>
          <w:color w:val="1C3F31"/>
          <w:sz w:val="25"/>
          <w:szCs w:val="25"/>
        </w:rPr>
        <w:t xml:space="preserve">5.1 [Member 1 name]</w:t>
      </w:r>
    </w:p>
    <w:p>
      <w:pPr>
        <w:spacing w:after="100" w:before="0" w:line="276"/>
      </w:pPr>
      <w:r>
        <w:rPr>
          <w:rFonts w:ascii="Calibri" w:cs="Calibri" w:eastAsia="Calibri" w:hAnsi="Calibri"/>
          <w:sz w:val="22"/>
          <w:szCs w:val="22"/>
        </w:rPr>
        <w:t xml:space="preserve">[What you owned, e.g. the routing structure, the catalogue and the filter-in-URL work.]</w:t>
      </w:r>
    </w:p>
    <w:p>
      <w:pPr>
        <w:spacing w:after="100" w:before="0" w:line="276"/>
      </w:pPr>
      <w:r>
        <w:rPr>
          <w:rFonts w:ascii="Calibri" w:cs="Calibri" w:eastAsia="Calibri" w:hAnsi="Calibri"/>
          <w:sz w:val="22"/>
          <w:szCs w:val="22"/>
        </w:rPr>
        <w:t xml:space="preserve">[The hardest problem you personally solved, and how.]</w:t>
      </w:r>
    </w:p>
    <w:p>
      <w:pPr>
        <w:spacing w:after="160" w:before="0" w:line="276"/>
      </w:pPr>
      <w:r>
        <w:rPr>
          <w:rFonts w:ascii="Calibri" w:cs="Calibri" w:eastAsia="Calibri" w:hAnsi="Calibri"/>
          <w:sz w:val="22"/>
          <w:szCs w:val="22"/>
        </w:rPr>
        <w:t xml:space="preserve">[What you would do differently next time.]</w:t>
      </w:r>
    </w:p>
    <w:p>
      <w:pPr>
        <w:pStyle w:val="Heading2"/>
        <w:spacing w:after="160" w:before="300"/>
      </w:pPr>
      <w:r>
        <w:rPr>
          <w:rFonts w:ascii="Calibri" w:cs="Calibri" w:eastAsia="Calibri" w:hAnsi="Calibri"/>
          <w:b/>
          <w:bCs/>
          <w:color w:val="1C3F31"/>
          <w:sz w:val="25"/>
          <w:szCs w:val="25"/>
        </w:rPr>
        <w:t xml:space="preserve">5.2 [Member 2 name]</w:t>
      </w:r>
    </w:p>
    <w:p>
      <w:pPr>
        <w:spacing w:after="100" w:before="0" w:line="276"/>
      </w:pPr>
      <w:r>
        <w:rPr>
          <w:rFonts w:ascii="Calibri" w:cs="Calibri" w:eastAsia="Calibri" w:hAnsi="Calibri"/>
          <w:sz w:val="22"/>
          <w:szCs w:val="22"/>
        </w:rPr>
        <w:t xml:space="preserve">[What you owned.]</w:t>
      </w:r>
    </w:p>
    <w:p>
      <w:pPr>
        <w:spacing w:after="100" w:before="0" w:line="276"/>
      </w:pPr>
      <w:r>
        <w:rPr>
          <w:rFonts w:ascii="Calibri" w:cs="Calibri" w:eastAsia="Calibri" w:hAnsi="Calibri"/>
          <w:sz w:val="22"/>
          <w:szCs w:val="22"/>
        </w:rPr>
        <w:t xml:space="preserve">[The hardest problem you personally solved, and how.]</w:t>
      </w:r>
    </w:p>
    <w:p>
      <w:pPr>
        <w:spacing w:after="160" w:before="0" w:line="276"/>
      </w:pPr>
      <w:r>
        <w:rPr>
          <w:rFonts w:ascii="Calibri" w:cs="Calibri" w:eastAsia="Calibri" w:hAnsi="Calibri"/>
          <w:sz w:val="22"/>
          <w:szCs w:val="22"/>
        </w:rPr>
        <w:t xml:space="preserve">[What you would do differently next time.]</w:t>
      </w:r>
    </w:p>
    <w:p>
      <w:pPr>
        <w:pStyle w:val="Heading2"/>
        <w:spacing w:after="160" w:before="300"/>
      </w:pPr>
      <w:r>
        <w:rPr>
          <w:rFonts w:ascii="Calibri" w:cs="Calibri" w:eastAsia="Calibri" w:hAnsi="Calibri"/>
          <w:b/>
          <w:bCs/>
          <w:color w:val="1C3F31"/>
          <w:sz w:val="25"/>
          <w:szCs w:val="25"/>
        </w:rPr>
        <w:t xml:space="preserve">5.3 [Member 3 name]</w:t>
      </w:r>
    </w:p>
    <w:p>
      <w:pPr>
        <w:spacing w:after="100" w:before="0" w:line="276"/>
      </w:pPr>
      <w:r>
        <w:rPr>
          <w:rFonts w:ascii="Calibri" w:cs="Calibri" w:eastAsia="Calibri" w:hAnsi="Calibri"/>
          <w:sz w:val="22"/>
          <w:szCs w:val="22"/>
        </w:rPr>
        <w:t xml:space="preserve">[What you owned.]</w:t>
      </w:r>
    </w:p>
    <w:p>
      <w:pPr>
        <w:spacing w:after="100" w:before="0" w:line="276"/>
      </w:pPr>
      <w:r>
        <w:rPr>
          <w:rFonts w:ascii="Calibri" w:cs="Calibri" w:eastAsia="Calibri" w:hAnsi="Calibri"/>
          <w:sz w:val="22"/>
          <w:szCs w:val="22"/>
        </w:rPr>
        <w:t xml:space="preserve">[The hardest problem you personally solved, and how.]</w:t>
      </w:r>
    </w:p>
    <w:p>
      <w:pPr>
        <w:spacing w:after="160" w:before="0" w:line="276"/>
      </w:pPr>
      <w:r>
        <w:rPr>
          <w:rFonts w:ascii="Calibri" w:cs="Calibri" w:eastAsia="Calibri" w:hAnsi="Calibri"/>
          <w:sz w:val="22"/>
          <w:szCs w:val="22"/>
        </w:rPr>
        <w:t xml:space="preserve">[What you would do differently next time.]</w:t>
      </w:r>
    </w:p>
    <w:p>
      <w:pPr>
        <w:pStyle w:val="Heading2"/>
        <w:spacing w:after="160" w:before="300"/>
      </w:pPr>
      <w:r>
        <w:rPr>
          <w:rFonts w:ascii="Calibri" w:cs="Calibri" w:eastAsia="Calibri" w:hAnsi="Calibri"/>
          <w:b/>
          <w:bCs/>
          <w:color w:val="1C3F31"/>
          <w:sz w:val="25"/>
          <w:szCs w:val="25"/>
        </w:rPr>
        <w:t xml:space="preserve">5.4 [Member 4 name]</w:t>
      </w:r>
    </w:p>
    <w:p>
      <w:pPr>
        <w:spacing w:after="100" w:before="0" w:line="276"/>
      </w:pPr>
      <w:r>
        <w:rPr>
          <w:rFonts w:ascii="Calibri" w:cs="Calibri" w:eastAsia="Calibri" w:hAnsi="Calibri"/>
          <w:sz w:val="22"/>
          <w:szCs w:val="22"/>
        </w:rPr>
        <w:t xml:space="preserve">[What you owned.]</w:t>
      </w:r>
    </w:p>
    <w:p>
      <w:pPr>
        <w:spacing w:after="100" w:before="0" w:line="276"/>
      </w:pPr>
      <w:r>
        <w:rPr>
          <w:rFonts w:ascii="Calibri" w:cs="Calibri" w:eastAsia="Calibri" w:hAnsi="Calibri"/>
          <w:sz w:val="22"/>
          <w:szCs w:val="22"/>
        </w:rPr>
        <w:t xml:space="preserve">[The hardest problem you personally solved, and how.]</w:t>
      </w:r>
    </w:p>
    <w:p>
      <w:pPr>
        <w:spacing w:after="160" w:before="0" w:line="276"/>
      </w:pPr>
      <w:r>
        <w:rPr>
          <w:rFonts w:ascii="Calibri" w:cs="Calibri" w:eastAsia="Calibri" w:hAnsi="Calibri"/>
          <w:sz w:val="22"/>
          <w:szCs w:val="22"/>
        </w:rPr>
        <w:t xml:space="preserve">[What you would do differently next time.]</w:t>
      </w:r>
    </w:p>
    <w:p>
      <w:pPr>
        <w:pStyle w:val="Heading1"/>
        <w:spacing w:after="160" w:before="300"/>
      </w:pPr>
      <w:r>
        <w:rPr>
          <w:rFonts w:ascii="Calibri" w:cs="Calibri" w:eastAsia="Calibri" w:hAnsi="Calibri"/>
          <w:b/>
          <w:bCs/>
          <w:color w:val="1C3F31"/>
          <w:sz w:val="30"/>
          <w:szCs w:val="30"/>
        </w:rPr>
        <w:t xml:space="preserve">6. Conclusion</w:t>
      </w:r>
    </w:p>
    <w:p>
      <w:pPr>
        <w:spacing w:after="160" w:before="0" w:line="276"/>
      </w:pPr>
      <w:r>
        <w:rPr>
          <w:rFonts w:ascii="Calibri" w:cs="Calibri" w:eastAsia="Calibri" w:hAnsi="Calibri"/>
          <w:sz w:val="22"/>
          <w:szCs w:val="22"/>
        </w:rPr>
        <w:t xml:space="preserve">Brindabella Learn meets the functional requirements of the brief, but the work that mattered most was not in the feature list. It was in the decisions underneath: splitting state so a toast does not re-render a catalogue, putting filters in the URL because that is what people expect, cancelling requests so a slow response cannot overwrite a fast one, and building accessibility into the primitives so it is inherited rather than retrofitted.</w:t>
      </w:r>
    </w:p>
    <w:p>
      <w:pPr>
        <w:pStyle w:val="Heading1"/>
        <w:spacing w:after="160" w:before="300"/>
      </w:pPr>
      <w:r>
        <w:rPr>
          <w:rFonts w:ascii="Calibri" w:cs="Calibri" w:eastAsia="Calibri" w:hAnsi="Calibri"/>
          <w:b/>
          <w:bCs/>
          <w:color w:val="1C3F31"/>
          <w:sz w:val="30"/>
          <w:szCs w:val="30"/>
        </w:rPr>
        <w:t xml:space="preserve">References</w:t>
      </w:r>
    </w:p>
    <w:p>
      <w:pPr>
        <w:shd w:fill="FBEECB" w:val="clear"/>
        <w:spacing w:after="160" w:line="276"/>
      </w:pPr>
      <w:r>
        <w:rPr>
          <w:rFonts w:ascii="Calibri" w:cs="Calibri" w:eastAsia="Calibri" w:hAnsi="Calibri"/>
          <w:i/>
          <w:iCs/>
          <w:color w:val="6B4B05"/>
          <w:sz w:val="22"/>
          <w:szCs w:val="22"/>
        </w:rPr>
        <w:t xml:space="preserve">Verify every entry below, add any source you actually used, and remove any you did not. Fabricated or unread references are an academic integrity risk.</w:t>
      </w:r>
    </w:p>
    <w:p>
      <w:pPr>
        <w:spacing w:after="120" w:line="276"/>
      </w:pPr>
      <w:r>
        <w:rPr>
          <w:rFonts w:ascii="Calibri" w:cs="Calibri" w:eastAsia="Calibri" w:hAnsi="Calibri"/>
          <w:sz w:val="22"/>
          <w:szCs w:val="22"/>
        </w:rPr>
        <w:t xml:space="preserve">Digital Transformation Agency. (n.d.). </w:t>
      </w:r>
      <w:r>
        <w:rPr>
          <w:rFonts w:ascii="Calibri" w:cs="Calibri" w:eastAsia="Calibri" w:hAnsi="Calibri"/>
          <w:i/>
          <w:iCs/>
          <w:sz w:val="22"/>
          <w:szCs w:val="22"/>
        </w:rPr>
        <w:t xml:space="preserve">Australian Government Design System</w:t>
      </w:r>
      <w:r>
        <w:rPr>
          <w:rFonts w:ascii="Calibri" w:cs="Calibri" w:eastAsia="Calibri" w:hAnsi="Calibri"/>
          <w:sz w:val="22"/>
          <w:szCs w:val="22"/>
        </w:rPr>
        <w:t xml:space="preserve">. https://designsystem.gov.au</w:t>
      </w:r>
    </w:p>
    <w:p>
      <w:pPr>
        <w:spacing w:after="120" w:line="276"/>
      </w:pPr>
      <w:r>
        <w:rPr>
          <w:rFonts w:ascii="Calibri" w:cs="Calibri" w:eastAsia="Calibri" w:hAnsi="Calibri"/>
          <w:sz w:val="22"/>
          <w:szCs w:val="22"/>
        </w:rPr>
        <w:t xml:space="preserve">Meta Platforms. (n.d.). </w:t>
      </w:r>
      <w:r>
        <w:rPr>
          <w:rFonts w:ascii="Calibri" w:cs="Calibri" w:eastAsia="Calibri" w:hAnsi="Calibri"/>
          <w:i/>
          <w:iCs/>
          <w:sz w:val="22"/>
          <w:szCs w:val="22"/>
        </w:rPr>
        <w:t xml:space="preserve">React documentation</w:t>
      </w:r>
      <w:r>
        <w:rPr>
          <w:rFonts w:ascii="Calibri" w:cs="Calibri" w:eastAsia="Calibri" w:hAnsi="Calibri"/>
          <w:sz w:val="22"/>
          <w:szCs w:val="22"/>
        </w:rPr>
        <w:t xml:space="preserve">. https://react.dev</w:t>
      </w:r>
    </w:p>
    <w:p>
      <w:pPr>
        <w:spacing w:after="120" w:line="276"/>
      </w:pPr>
      <w:r>
        <w:rPr>
          <w:rFonts w:ascii="Calibri" w:cs="Calibri" w:eastAsia="Calibri" w:hAnsi="Calibri"/>
          <w:sz w:val="22"/>
          <w:szCs w:val="22"/>
        </w:rPr>
        <w:t xml:space="preserve">Nielsen, J. (2024). </w:t>
      </w:r>
      <w:r>
        <w:rPr>
          <w:rFonts w:ascii="Calibri" w:cs="Calibri" w:eastAsia="Calibri" w:hAnsi="Calibri"/>
          <w:i/>
          <w:iCs/>
          <w:sz w:val="22"/>
          <w:szCs w:val="22"/>
        </w:rPr>
        <w:t xml:space="preserve">10 usability heuristics for user interface design</w:t>
      </w:r>
      <w:r>
        <w:rPr>
          <w:rFonts w:ascii="Calibri" w:cs="Calibri" w:eastAsia="Calibri" w:hAnsi="Calibri"/>
          <w:sz w:val="22"/>
          <w:szCs w:val="22"/>
        </w:rPr>
        <w:t xml:space="preserve">. Nielsen Norman Group. https://www.nngroup.com/articles/ten-usability-heuristics/</w:t>
      </w:r>
    </w:p>
    <w:p>
      <w:pPr>
        <w:spacing w:after="120" w:line="276"/>
      </w:pPr>
      <w:r>
        <w:rPr>
          <w:rFonts w:ascii="Calibri" w:cs="Calibri" w:eastAsia="Calibri" w:hAnsi="Calibri"/>
          <w:sz w:val="22"/>
          <w:szCs w:val="22"/>
        </w:rPr>
        <w:t xml:space="preserve">Remix Software. (n.d.). </w:t>
      </w:r>
      <w:r>
        <w:rPr>
          <w:rFonts w:ascii="Calibri" w:cs="Calibri" w:eastAsia="Calibri" w:hAnsi="Calibri"/>
          <w:i/>
          <w:iCs/>
          <w:sz w:val="22"/>
          <w:szCs w:val="22"/>
        </w:rPr>
        <w:t xml:space="preserve">React Router documentation</w:t>
      </w:r>
      <w:r>
        <w:rPr>
          <w:rFonts w:ascii="Calibri" w:cs="Calibri" w:eastAsia="Calibri" w:hAnsi="Calibri"/>
          <w:sz w:val="22"/>
          <w:szCs w:val="22"/>
        </w:rPr>
        <w:t xml:space="preserve">. https://reactrouter.com</w:t>
      </w:r>
    </w:p>
    <w:p>
      <w:pPr>
        <w:spacing w:after="120" w:line="276"/>
      </w:pPr>
      <w:r>
        <w:rPr>
          <w:rFonts w:ascii="Calibri" w:cs="Calibri" w:eastAsia="Calibri" w:hAnsi="Calibri"/>
          <w:sz w:val="22"/>
          <w:szCs w:val="22"/>
        </w:rPr>
        <w:t xml:space="preserve">World Wide Web Consortium. (2023). </w:t>
      </w:r>
      <w:r>
        <w:rPr>
          <w:rFonts w:ascii="Calibri" w:cs="Calibri" w:eastAsia="Calibri" w:hAnsi="Calibri"/>
          <w:i/>
          <w:iCs/>
          <w:sz w:val="22"/>
          <w:szCs w:val="22"/>
        </w:rPr>
        <w:t xml:space="preserve">Web Content Accessibility Guidelines (WCAG) 2.2</w:t>
      </w:r>
      <w:r>
        <w:rPr>
          <w:rFonts w:ascii="Calibri" w:cs="Calibri" w:eastAsia="Calibri" w:hAnsi="Calibri"/>
          <w:sz w:val="22"/>
          <w:szCs w:val="22"/>
        </w:rPr>
        <w:t xml:space="preserve">. https://www.w3.org/TR/WCAG22/</w:t>
      </w:r>
    </w:p>
    <w:p>
      <w:pPr>
        <w:spacing w:after="120" w:line="276"/>
      </w:pPr>
      <w:r>
        <w:rPr>
          <w:rFonts w:ascii="Calibri" w:cs="Calibri" w:eastAsia="Calibri" w:hAnsi="Calibri"/>
          <w:sz w:val="22"/>
          <w:szCs w:val="22"/>
        </w:rPr>
        <w:t xml:space="preserve">World Wide Web Consortium. (n.d.). </w:t>
      </w:r>
      <w:r>
        <w:rPr>
          <w:rFonts w:ascii="Calibri" w:cs="Calibri" w:eastAsia="Calibri" w:hAnsi="Calibri"/>
          <w:i/>
          <w:iCs/>
          <w:sz w:val="22"/>
          <w:szCs w:val="22"/>
        </w:rPr>
        <w:t xml:space="preserve">ARIA Authoring Practices Guide</w:t>
      </w:r>
      <w:r>
        <w:rPr>
          <w:rFonts w:ascii="Calibri" w:cs="Calibri" w:eastAsia="Calibri" w:hAnsi="Calibri"/>
          <w:sz w:val="22"/>
          <w:szCs w:val="22"/>
        </w:rPr>
        <w:t xml:space="preserve">. https://www.w3.org/WAI/ARIA/apg/</w:t>
      </w:r>
    </w:p>
    <w:p>
      <w:pPr>
        <w:shd w:fill="FBEECB" w:val="clear"/>
        <w:spacing w:after="160" w:line="276"/>
      </w:pPr>
      <w:r>
        <w:rPr>
          <w:rFonts w:ascii="Calibri" w:cs="Calibri" w:eastAsia="Calibri" w:hAnsi="Calibri"/>
          <w:i/>
          <w:iCs/>
          <w:color w:val="6B4B05"/>
          <w:sz w:val="22"/>
          <w:szCs w:val="22"/>
        </w:rPr>
        <w:t xml:space="preserve">Add your generative AI acknowledgement here, or as a separate declaration if your unit requires one. See docs/AI-Acknowledgement.md in the repository for a template.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2026-09-06T13:07:17.003Z</dcterms:created>
  <dcterms:modified xsi:type="dcterms:W3CDTF">2026-09-06T13:07:17.004Z</dcterms:modified>
</cp:coreProperties>
</file>

<file path=docProps/custom.xml><?xml version="1.0" encoding="utf-8"?>
<Properties xmlns="http://schemas.openxmlformats.org/officeDocument/2006/custom-properties" xmlns:vt="http://schemas.openxmlformats.org/officeDocument/2006/docPropsVTypes"/>
</file>