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79BD99" w14:textId="77777777" w:rsidR="00414E2B" w:rsidRPr="00414E2B" w:rsidRDefault="00414E2B" w:rsidP="00414E2B">
      <w:pPr>
        <w:rPr>
          <w:b/>
          <w:bCs/>
        </w:rPr>
      </w:pPr>
      <w:r w:rsidRPr="00414E2B">
        <w:rPr>
          <w:b/>
          <w:bCs/>
        </w:rPr>
        <w:t>How Proteins Enter Peroxisomes</w:t>
      </w:r>
    </w:p>
    <w:p w14:paraId="446B90A4" w14:textId="77777777" w:rsidR="00414E2B" w:rsidRPr="00414E2B" w:rsidRDefault="00414E2B" w:rsidP="00414E2B">
      <w:r w:rsidRPr="00414E2B">
        <w:t>Peroxisomes are small compartments inside our cells that carry out important metabolic functions. To work properly, they need to import specific proteins from the surrounding cell. This transport is controlled by a specialized protein-import machinery, but exactly how this machinery forms a pathway through the peroxisomal membrane is still an important biological question.</w:t>
      </w:r>
    </w:p>
    <w:p w14:paraId="6D98B94B" w14:textId="77777777" w:rsidR="00414E2B" w:rsidRPr="00414E2B" w:rsidRDefault="00414E2B" w:rsidP="00414E2B">
      <w:r w:rsidRPr="00414E2B">
        <w:t xml:space="preserve">In this project, I investigated the </w:t>
      </w:r>
      <w:r w:rsidRPr="00414E2B">
        <w:rPr>
          <w:b/>
          <w:bCs/>
        </w:rPr>
        <w:t>human PEX5L protein import machinery</w:t>
      </w:r>
      <w:r w:rsidRPr="00414E2B">
        <w:t xml:space="preserve">, focusing on whether PEX5L-containing complexes can form a membrane channel and how interaction with cargo proteins influences its activity. The work combines </w:t>
      </w:r>
      <w:r w:rsidRPr="00414E2B">
        <w:rPr>
          <w:b/>
          <w:bCs/>
        </w:rPr>
        <w:t>protein isolation, membrane reconstitution and electrophysiology</w:t>
      </w:r>
      <w:r w:rsidRPr="00414E2B">
        <w:t xml:space="preserve"> to study this transport process directly at the membrane level.</w:t>
      </w:r>
    </w:p>
    <w:p w14:paraId="03AE118F" w14:textId="77777777" w:rsidR="00414E2B" w:rsidRPr="00414E2B" w:rsidRDefault="00414E2B" w:rsidP="00414E2B">
      <w:pPr>
        <w:rPr>
          <w:b/>
          <w:bCs/>
        </w:rPr>
      </w:pPr>
      <w:r w:rsidRPr="00414E2B">
        <w:rPr>
          <w:b/>
          <w:bCs/>
        </w:rPr>
        <w:t>How Mitochondria Control Calcium Transport</w:t>
      </w:r>
    </w:p>
    <w:p w14:paraId="47E45B50" w14:textId="77777777" w:rsidR="00414E2B" w:rsidRPr="00414E2B" w:rsidRDefault="00414E2B" w:rsidP="00414E2B">
      <w:r w:rsidRPr="00414E2B">
        <w:t xml:space="preserve">Calcium ions (Ca²⁺) act as important signals inside cells, and mitochondria help regulate cellular calcium levels. </w:t>
      </w:r>
      <w:r w:rsidRPr="00414E2B">
        <w:rPr>
          <w:b/>
          <w:bCs/>
        </w:rPr>
        <w:t>TMBIM5</w:t>
      </w:r>
      <w:r w:rsidRPr="00414E2B">
        <w:t xml:space="preserve"> is a membrane protein located in the inner mitochondrial membrane and has been proposed to participate in calcium transport.</w:t>
      </w:r>
    </w:p>
    <w:p w14:paraId="1E8FE707" w14:textId="77777777" w:rsidR="00414E2B" w:rsidRPr="00414E2B" w:rsidRDefault="00414E2B" w:rsidP="00414E2B">
      <w:r w:rsidRPr="00414E2B">
        <w:t xml:space="preserve">In this project, I investigated whether </w:t>
      </w:r>
      <w:r w:rsidRPr="00414E2B">
        <w:rPr>
          <w:b/>
          <w:bCs/>
        </w:rPr>
        <w:t>TMBIM5 can function as a calcium-conducting membrane channel</w:t>
      </w:r>
      <w:r w:rsidRPr="00414E2B">
        <w:t xml:space="preserve">. The work involved </w:t>
      </w:r>
      <w:r w:rsidRPr="00414E2B">
        <w:rPr>
          <w:b/>
          <w:bCs/>
        </w:rPr>
        <w:t>TMBIM5 purification, reconstitution into lipid vesicles (LUVs), electrophysiological characterization in artificial lipid bilayers, and gadolinium chloride sensitivity experiments</w:t>
      </w:r>
      <w:r w:rsidRPr="00414E2B">
        <w:t xml:space="preserve"> to examine its calcium-channel activity.</w:t>
      </w:r>
    </w:p>
    <w:p w14:paraId="2067C6B6" w14:textId="77777777" w:rsidR="00414E2B" w:rsidRPr="00414E2B" w:rsidRDefault="00414E2B" w:rsidP="00414E2B">
      <w:pPr>
        <w:rPr>
          <w:b/>
          <w:bCs/>
        </w:rPr>
      </w:pPr>
      <w:r w:rsidRPr="00414E2B">
        <w:rPr>
          <w:b/>
          <w:bCs/>
        </w:rPr>
        <w:t>How Cells Remove Misfolded Proteins</w:t>
      </w:r>
    </w:p>
    <w:p w14:paraId="483F08F0" w14:textId="77777777" w:rsidR="00414E2B" w:rsidRPr="00414E2B" w:rsidRDefault="00414E2B" w:rsidP="00414E2B">
      <w:r w:rsidRPr="00414E2B">
        <w:t xml:space="preserve">Proteins that are incorrectly folded can damage cells and therefore need to be recognized and removed. In the </w:t>
      </w:r>
      <w:r w:rsidRPr="00414E2B">
        <w:rPr>
          <w:b/>
          <w:bCs/>
        </w:rPr>
        <w:t>endoplasmic reticulum (ER)</w:t>
      </w:r>
      <w:r w:rsidRPr="00414E2B">
        <w:t xml:space="preserve">, this quality-control process is known as </w:t>
      </w:r>
      <w:r w:rsidRPr="00414E2B">
        <w:rPr>
          <w:b/>
          <w:bCs/>
        </w:rPr>
        <w:t>ER-associated degradation (ERAD)</w:t>
      </w:r>
      <w:r w:rsidRPr="00414E2B">
        <w:t xml:space="preserve">. A key player is the </w:t>
      </w:r>
      <w:r w:rsidRPr="00414E2B">
        <w:rPr>
          <w:b/>
          <w:bCs/>
        </w:rPr>
        <w:t>HRD complex</w:t>
      </w:r>
      <w:r w:rsidRPr="00414E2B">
        <w:t>, which helps transport unwanted proteins across the ER membrane so they can be degraded.</w:t>
      </w:r>
    </w:p>
    <w:p w14:paraId="3546AA57" w14:textId="77777777" w:rsidR="00414E2B" w:rsidRPr="00414E2B" w:rsidRDefault="00414E2B" w:rsidP="00414E2B">
      <w:r w:rsidRPr="00414E2B">
        <w:t xml:space="preserve">In this project, I investigated the </w:t>
      </w:r>
      <w:r w:rsidRPr="00414E2B">
        <w:rPr>
          <w:b/>
          <w:bCs/>
        </w:rPr>
        <w:t xml:space="preserve">channel properties and gating </w:t>
      </w:r>
      <w:proofErr w:type="spellStart"/>
      <w:r w:rsidRPr="00414E2B">
        <w:rPr>
          <w:b/>
          <w:bCs/>
        </w:rPr>
        <w:t>behavior</w:t>
      </w:r>
      <w:proofErr w:type="spellEnd"/>
      <w:r w:rsidRPr="00414E2B">
        <w:rPr>
          <w:b/>
          <w:bCs/>
        </w:rPr>
        <w:t xml:space="preserve"> of the HRD complex</w:t>
      </w:r>
      <w:r w:rsidRPr="00414E2B">
        <w:t xml:space="preserve"> and compared them with Hrd1 alone. Using </w:t>
      </w:r>
      <w:r w:rsidRPr="00414E2B">
        <w:rPr>
          <w:b/>
          <w:bCs/>
        </w:rPr>
        <w:t>liposome reconstitution, in-vitro ubiquitination and planar lipid bilayer electrophysiology</w:t>
      </w:r>
      <w:r w:rsidRPr="00414E2B">
        <w:t xml:space="preserve">, I examined how ubiquitination, </w:t>
      </w:r>
      <w:proofErr w:type="spellStart"/>
      <w:r w:rsidRPr="00414E2B">
        <w:t>deubiquitination</w:t>
      </w:r>
      <w:proofErr w:type="spellEnd"/>
      <w:r w:rsidRPr="00414E2B">
        <w:t xml:space="preserve"> by Usp2, and the model substrate CPY* influence channel activity and pore </w:t>
      </w:r>
      <w:proofErr w:type="spellStart"/>
      <w:r w:rsidRPr="00414E2B">
        <w:t>behavior</w:t>
      </w:r>
      <w:proofErr w:type="spellEnd"/>
      <w:r w:rsidRPr="00414E2B">
        <w:t>.</w:t>
      </w:r>
    </w:p>
    <w:p w14:paraId="1652AA5E" w14:textId="77777777" w:rsidR="005C7528" w:rsidRPr="005C7528" w:rsidRDefault="005C7528" w:rsidP="005C7528">
      <w:pPr>
        <w:rPr>
          <w:b/>
          <w:bCs/>
        </w:rPr>
      </w:pPr>
      <w:r w:rsidRPr="005C7528">
        <w:rPr>
          <w:b/>
          <w:bCs/>
        </w:rPr>
        <w:t>From Scientific Question to Clinical Trial</w:t>
      </w:r>
    </w:p>
    <w:p w14:paraId="7C5EA6D2" w14:textId="77777777" w:rsidR="005C7528" w:rsidRPr="005C7528" w:rsidRDefault="005C7528" w:rsidP="005C7528">
      <w:r w:rsidRPr="005C7528">
        <w:t xml:space="preserve">Patients with advanced liver cirrhosis are highly vulnerable to serious bacterial infections. Certain variants of the </w:t>
      </w:r>
      <w:r w:rsidRPr="005C7528">
        <w:rPr>
          <w:b/>
          <w:bCs/>
        </w:rPr>
        <w:t>NOD2 gene</w:t>
      </w:r>
      <w:r w:rsidRPr="005C7528">
        <w:t xml:space="preserve">, which is involved in recognizing bacteria, may further increase this risk. This clinical study investigated whether identifying these high-risk patients genetically and providing targeted antibiotic prophylaxis with </w:t>
      </w:r>
      <w:r w:rsidRPr="005C7528">
        <w:rPr>
          <w:b/>
          <w:bCs/>
        </w:rPr>
        <w:t>norfloxacin</w:t>
      </w:r>
      <w:r w:rsidRPr="005C7528">
        <w:t xml:space="preserve"> could reduce infections and improve survival.</w:t>
      </w:r>
    </w:p>
    <w:p w14:paraId="5632BBDA" w14:textId="77777777" w:rsidR="005C7528" w:rsidRPr="005C7528" w:rsidRDefault="005C7528" w:rsidP="005C7528">
      <w:r w:rsidRPr="005C7528">
        <w:t xml:space="preserve">As part of my </w:t>
      </w:r>
      <w:r w:rsidRPr="005C7528">
        <w:rPr>
          <w:b/>
          <w:bCs/>
        </w:rPr>
        <w:t>Clinical Research Studies Management training</w:t>
      </w:r>
      <w:r w:rsidRPr="005C7528">
        <w:t xml:space="preserve">, I developed a mock clinical trial kick-off presentation based on a real Phase III study. The project demonstrates my understanding of </w:t>
      </w:r>
      <w:r w:rsidRPr="005C7528">
        <w:rPr>
          <w:b/>
          <w:bCs/>
        </w:rPr>
        <w:t>clinical trial design, patient screening and recruitment, study phases and visits, informed consent, randomization, IMP administration, safety assessments, stakeholder responsibilities, and GCP-oriented study coordination</w:t>
      </w:r>
      <w:r w:rsidRPr="005C7528">
        <w:t>. Company and personnel details were fictionalized for training purposes.</w:t>
      </w:r>
    </w:p>
    <w:p w14:paraId="09C59894" w14:textId="77777777" w:rsidR="00F74EAB" w:rsidRPr="00F74EAB" w:rsidRDefault="00F74EAB" w:rsidP="00F74EAB">
      <w:pPr>
        <w:rPr>
          <w:b/>
          <w:bCs/>
        </w:rPr>
      </w:pPr>
      <w:r w:rsidRPr="00F74EAB">
        <w:rPr>
          <w:b/>
          <w:bCs/>
        </w:rPr>
        <w:t xml:space="preserve">Scientific Product Presentation – </w:t>
      </w:r>
      <w:proofErr w:type="spellStart"/>
      <w:r w:rsidRPr="00F74EAB">
        <w:rPr>
          <w:b/>
          <w:bCs/>
        </w:rPr>
        <w:t>EasySep</w:t>
      </w:r>
      <w:proofErr w:type="spellEnd"/>
      <w:r w:rsidRPr="00F74EAB">
        <w:rPr>
          <w:b/>
          <w:bCs/>
        </w:rPr>
        <w:t>™ Cell Isolation</w:t>
      </w:r>
    </w:p>
    <w:p w14:paraId="7C7B1A5D" w14:textId="77777777" w:rsidR="00F74EAB" w:rsidRPr="00F74EAB" w:rsidRDefault="00F74EAB" w:rsidP="00F74EAB">
      <w:r w:rsidRPr="00F74EAB">
        <w:t xml:space="preserve">This presentation was created as part of an application for a </w:t>
      </w:r>
      <w:r w:rsidRPr="00F74EAB">
        <w:rPr>
          <w:b/>
          <w:bCs/>
        </w:rPr>
        <w:t>Scientific Sales Development role</w:t>
      </w:r>
      <w:r w:rsidRPr="00F74EAB">
        <w:t xml:space="preserve"> to demonstrate how I would communicate a life-science product portfolio to customers.</w:t>
      </w:r>
    </w:p>
    <w:p w14:paraId="19AF4F42" w14:textId="77777777" w:rsidR="00F74EAB" w:rsidRPr="00F74EAB" w:rsidRDefault="00F74EAB" w:rsidP="00F74EAB">
      <w:r w:rsidRPr="00F74EAB">
        <w:lastRenderedPageBreak/>
        <w:t xml:space="preserve">Using the </w:t>
      </w:r>
      <w:proofErr w:type="spellStart"/>
      <w:r w:rsidRPr="00F74EAB">
        <w:rPr>
          <w:b/>
          <w:bCs/>
        </w:rPr>
        <w:t>EasySep</w:t>
      </w:r>
      <w:proofErr w:type="spellEnd"/>
      <w:r w:rsidRPr="00F74EAB">
        <w:rPr>
          <w:b/>
          <w:bCs/>
        </w:rPr>
        <w:t>™ cell isolation portfolio</w:t>
      </w:r>
      <w:r w:rsidRPr="00F74EAB">
        <w:t xml:space="preserve"> as an example, I translated technical product information into a clear customer-focused story—from identifying common cell-isolation challenges to explaining the technology, product options, applications, and key benefits. I also developed an example approach for </w:t>
      </w:r>
      <w:r w:rsidRPr="00F74EAB">
        <w:rPr>
          <w:b/>
          <w:bCs/>
        </w:rPr>
        <w:t>understanding customer needs, recommending suitable solutions, and identifying cross-selling opportunities</w:t>
      </w:r>
      <w:r w:rsidRPr="00F74EAB">
        <w:t>.</w:t>
      </w:r>
    </w:p>
    <w:p w14:paraId="758058FC" w14:textId="77777777" w:rsidR="00F74EAB" w:rsidRPr="00F74EAB" w:rsidRDefault="00F74EAB" w:rsidP="00F74EAB">
      <w:r w:rsidRPr="00F74EAB">
        <w:rPr>
          <w:b/>
          <w:bCs/>
        </w:rPr>
        <w:t>Skills demonstrated:</w:t>
      </w:r>
      <w:r w:rsidRPr="00F74EAB">
        <w:t xml:space="preserve"> Scientific Sales · Product Presentation · Customer Needs Analysis · Scientific Communication · Product Positioning · Cross-Selling · Life Science Applications</w:t>
      </w:r>
    </w:p>
    <w:p w14:paraId="045930FD" w14:textId="77777777" w:rsidR="00813CF8" w:rsidRDefault="00813CF8"/>
    <w:sectPr w:rsidR="00813CF8" w:rsidSect="007F49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F4C"/>
    <w:rsid w:val="00414E2B"/>
    <w:rsid w:val="004578AB"/>
    <w:rsid w:val="005C7528"/>
    <w:rsid w:val="007F4904"/>
    <w:rsid w:val="00813CF8"/>
    <w:rsid w:val="00926BA0"/>
    <w:rsid w:val="00A95880"/>
    <w:rsid w:val="00B80F4C"/>
    <w:rsid w:val="00F74EAB"/>
  </w:rsids>
  <m:mathPr>
    <m:mathFont m:val="Cambria Math"/>
    <m:brkBin m:val="before"/>
    <m:brkBinSub m:val="--"/>
    <m:smallFrac m:val="0"/>
    <m:dispDef/>
    <m:lMargin m:val="0"/>
    <m:rMargin m:val="0"/>
    <m:defJc m:val="centerGroup"/>
    <m:wrapIndent m:val="1440"/>
    <m:intLim m:val="subSup"/>
    <m:naryLim m:val="undOvr"/>
  </m:mathPr>
  <w:themeFontLang w:val="en-DE"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E1B62"/>
  <w15:chartTrackingRefBased/>
  <w15:docId w15:val="{FBE289E1-4813-4998-ABA6-FF3514C33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GB"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7737774">
      <w:bodyDiv w:val="1"/>
      <w:marLeft w:val="0"/>
      <w:marRight w:val="0"/>
      <w:marTop w:val="0"/>
      <w:marBottom w:val="0"/>
      <w:divBdr>
        <w:top w:val="none" w:sz="0" w:space="0" w:color="auto"/>
        <w:left w:val="none" w:sz="0" w:space="0" w:color="auto"/>
        <w:bottom w:val="none" w:sz="0" w:space="0" w:color="auto"/>
        <w:right w:val="none" w:sz="0" w:space="0" w:color="auto"/>
      </w:divBdr>
    </w:div>
    <w:div w:id="230585075">
      <w:bodyDiv w:val="1"/>
      <w:marLeft w:val="0"/>
      <w:marRight w:val="0"/>
      <w:marTop w:val="0"/>
      <w:marBottom w:val="0"/>
      <w:divBdr>
        <w:top w:val="none" w:sz="0" w:space="0" w:color="auto"/>
        <w:left w:val="none" w:sz="0" w:space="0" w:color="auto"/>
        <w:bottom w:val="none" w:sz="0" w:space="0" w:color="auto"/>
        <w:right w:val="none" w:sz="0" w:space="0" w:color="auto"/>
      </w:divBdr>
    </w:div>
    <w:div w:id="325866451">
      <w:bodyDiv w:val="1"/>
      <w:marLeft w:val="0"/>
      <w:marRight w:val="0"/>
      <w:marTop w:val="0"/>
      <w:marBottom w:val="0"/>
      <w:divBdr>
        <w:top w:val="none" w:sz="0" w:space="0" w:color="auto"/>
        <w:left w:val="none" w:sz="0" w:space="0" w:color="auto"/>
        <w:bottom w:val="none" w:sz="0" w:space="0" w:color="auto"/>
        <w:right w:val="none" w:sz="0" w:space="0" w:color="auto"/>
      </w:divBdr>
    </w:div>
    <w:div w:id="740299863">
      <w:bodyDiv w:val="1"/>
      <w:marLeft w:val="0"/>
      <w:marRight w:val="0"/>
      <w:marTop w:val="0"/>
      <w:marBottom w:val="0"/>
      <w:divBdr>
        <w:top w:val="none" w:sz="0" w:space="0" w:color="auto"/>
        <w:left w:val="none" w:sz="0" w:space="0" w:color="auto"/>
        <w:bottom w:val="none" w:sz="0" w:space="0" w:color="auto"/>
        <w:right w:val="none" w:sz="0" w:space="0" w:color="auto"/>
      </w:divBdr>
    </w:div>
    <w:div w:id="790977926">
      <w:bodyDiv w:val="1"/>
      <w:marLeft w:val="0"/>
      <w:marRight w:val="0"/>
      <w:marTop w:val="0"/>
      <w:marBottom w:val="0"/>
      <w:divBdr>
        <w:top w:val="none" w:sz="0" w:space="0" w:color="auto"/>
        <w:left w:val="none" w:sz="0" w:space="0" w:color="auto"/>
        <w:bottom w:val="none" w:sz="0" w:space="0" w:color="auto"/>
        <w:right w:val="none" w:sz="0" w:space="0" w:color="auto"/>
      </w:divBdr>
    </w:div>
    <w:div w:id="1896773581">
      <w:bodyDiv w:val="1"/>
      <w:marLeft w:val="0"/>
      <w:marRight w:val="0"/>
      <w:marTop w:val="0"/>
      <w:marBottom w:val="0"/>
      <w:divBdr>
        <w:top w:val="none" w:sz="0" w:space="0" w:color="auto"/>
        <w:left w:val="none" w:sz="0" w:space="0" w:color="auto"/>
        <w:bottom w:val="none" w:sz="0" w:space="0" w:color="auto"/>
        <w:right w:val="none" w:sz="0" w:space="0" w:color="auto"/>
      </w:divBdr>
    </w:div>
    <w:div w:id="1959219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582</Words>
  <Characters>3320</Characters>
  <Application>Microsoft Office Word</Application>
  <DocSecurity>0</DocSecurity>
  <Lines>27</Lines>
  <Paragraphs>7</Paragraphs>
  <ScaleCrop>false</ScaleCrop>
  <Company/>
  <LinksUpToDate>false</LinksUpToDate>
  <CharactersWithSpaces>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Mausumi Ghosh</dc:creator>
  <cp:keywords/>
  <dc:description/>
  <cp:lastModifiedBy>Mausumi Ghosh</cp:lastModifiedBy>
  <cp:revision>8</cp:revision>
  <dcterms:created xsi:type="dcterms:W3CDTF">2026-08-24T15:53:00Z</dcterms:created>
  <dcterms:modified xsi:type="dcterms:W3CDTF">2026-08-24T17:52:00Z</dcterms:modified>
</cp:coreProperties>
</file>