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Modulation Recognition: Handcrafted Features vs CNN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Chapter 3 assignment, option 2: classify BPSK, QPSK, 16-QAM and 64-QAM</w:t>
      </w:r>
    </w:p>
    <w:p>
      <w:pPr>
        <w:pStyle w:val="Heading1"/>
      </w:pPr>
      <w:r>
        <w:t xml:space="preserve">1. Task and Scenario</w:t>
      </w:r>
    </w:p>
    <w:p>
      <w:pPr>
        <w:spacing w:after="90"/>
      </w:pPr>
      <w:r>
        <w:t xml:space="preserve">A receiver gets a burst of symbols with an unknown modulation and must classify it as BPSK, QPSK, 16-QAM or 64-QAM. Symbol timing is assumed recovered (one sample per symbol), and each sample is a window of 128 symbols. The objective is high accuracy across SNR and channel conditions, including conditions not seen in training.</w:t>
      </w:r>
    </w:p>
    <w:p>
      <w:pPr>
        <w:pStyle w:val="Heading1"/>
      </w:pPr>
      <w:r>
        <w:t xml:space="preserve">2. Signal Model and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Model: </w:t>
      </w:r>
      <w:r>
        <w:t xml:space="preserve">r[n] = h·exp(j(2πfn + φ))·s[n] + w[n], with unit-power symbols s[n], a flat block-fading gain h (constant within a burst), unknown phase φ ~ U(0, 2π), carrier-frequency offset (CFO) f, and noise w ~ CN(0, 10^(−SNR/10)). Each window is normalized to unit power (AGC).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Channels: </w:t>
      </w:r>
      <w:r>
        <w:t xml:space="preserve">AWGN (h = 1), Rayleigh (h ~ CN(0,1)) and Rician (K = 6 dB), with E|h|² = 1 so that SNR is the average SNR.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Training data: </w:t>
      </w:r>
      <w:r>
        <w:t xml:space="preserve">AWGN and Rayleigh, SNR −5 to 20 dB in 5 dB steps, no CFO. 150 bursts per modulation, SNR and channel; each burst gives 4 windows (28,800 windows in total).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Unseen test conditions: </w:t>
      </w:r>
      <w:r>
        <w:t xml:space="preserve">Rician fading, SNR from −10 to 30 dB (below and above the training range), and CFO up to 0.005 cycles/symbol at 15 dB. These test sets are generated fresh with a separate random stream.</w:t>
      </w:r>
    </w:p>
    <w:p>
      <w:pPr>
        <w:pStyle w:val="Heading1"/>
      </w:pPr>
      <w:r>
        <w:t xml:space="preserve">3. Features, Baseline and ML Method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Baseline: </w:t>
      </w:r>
      <w:r>
        <w:t xml:space="preserve">seven handcrafted features (|C20|, |C40|, |C41|, C42, E|r|⁴, E|r|⁶, std of |r|), which ignore the unknown phase, classified by a 200-tree random forest.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ML method: </w:t>
      </w:r>
      <w:r>
        <w:t xml:space="preserve">a small CNN (38,980 parameters, three conv blocks) on a 32×32 constellation image, a 2-D histogram of the received I/Q points. The CNN suits the task because the information is the shape of the point cloud. Training used Adam for 15 epochs, with the epoch chosen on validation bursts.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Both methods use the same windows, splits and test sets, so only the classifier differs.</w:t>
      </w:r>
    </w:p>
    <w:p>
      <w:pPr>
        <w:pStyle w:val="Heading1"/>
      </w:pPr>
      <w:r>
        <w:t xml:space="preserve">4. Metrics and Leakage Prevention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Metrics: </w:t>
      </w:r>
      <w:r>
        <w:t xml:space="preserve">accuracy vs SNR, confusion matrices at 0, 10 and 20 dB, and accuracy vs CFO. All experiments use 3 seeds (0, 1, 2) and are reported as mean ± std.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Leakage prevention: </w:t>
      </w:r>
      <w:r>
        <w:t xml:space="preserve">the 4 windows of a burst share the same channel gain, phase and SNR, so the pool is split by whole burst (60/20/20), and the code asserts no burst appears in two splits. The CNN epoch is selected on validation bursts only, and no preprocessing is fitted on test data.</w:t>
      </w:r>
    </w:p>
    <w:p>
      <w:pPr>
        <w:pStyle w:val="Heading1"/>
      </w:pPr>
      <w:r>
        <w:t xml:space="preserve">5. Results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00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Condition (accuracy %)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Baseline: cumulants + RF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Proposed: CNN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Held-out bursts (training conditions)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65.3 ± 0.7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68.1 ± 0.7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AWGN, 0 dB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48.1 ± 1.8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48.5 ± 1.1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AWGN, 10 dB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72.5 ± 1.1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74.8 ± 0.2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AWGN, 20 dB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89.8 ± 1.0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97.5 ± 0.8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Rayleigh, 20 dB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84.3 ± 1.7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93.0 ± 2.0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Rician (unseen), 20 dB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87.6 ± 1.1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96.4 ± 1.9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AWGN, 30 dB (above training range)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86.9 ± 2.4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97.5 ± 1.9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AWGN, −10 dB (below training range)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28.3 ± 1.0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26.8 ± 1.0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CFO max 0.001, AWGN 15 dB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84.4 ± 0.5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93.9 ± 0.1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CFO max 0.002, AWGN 15 dB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81.7 ± 0.4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86.2 ± 0.7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CFO max 0.005, AWGN 15 dB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67.2 ± 0.8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67.1 ± 0.7</w:t>
            </w:r>
          </w:p>
        </w:tc>
      </w:tr>
    </w:tbl>
    <w:p>
      <w:pPr>
        <w:spacing w:after="120" w:before="50"/>
      </w:pPr>
      <w:r>
        <w:rPr>
          <w:i/>
          <w:iCs/>
          <w:sz w:val="18"/>
          <w:szCs w:val="18"/>
        </w:rPr>
        <w:t xml:space="preserve">Mean ± std over 3 seeds. Chance level is 25%.</w:t>
      </w:r>
    </w:p>
    <w:p>
      <w:pPr>
        <w:spacing w:after="40"/>
        <w:jc w:val="center"/>
      </w:pPr>
      <w:r>
        <w:drawing>
          <wp:inline distT="0" distB="0" distL="0" distR="0">
            <wp:extent cx="6096000" cy="1609725"/>
            <wp:effectExtent t="0" r="0" b="0" l="0"/>
            <wp:docPr id="1" name="acc" descr="Accuracy vs SNR for AWGN, Rayleigh and Rician" title="Accuracy vs SN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"/>
      </w:pPr>
      <w:r>
        <w:rPr>
          <w:i/>
          <w:iCs/>
          <w:sz w:val="18"/>
          <w:szCs w:val="18"/>
        </w:rPr>
        <w:t xml:space="preserve">Accuracy vs SNR (shaded: training range). Baseline in orange, CNN in blue.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CNN is clearly better at medium to high SNR (about +8 to +9 points at 20 dB on AWGN, Rayleigh and unseen Rician), and about equal to the baseline at 0 dB and below.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Fading lowers accuracy (Rayleigh 20 dB: 93.0% vs 97.5% on AWGN) because a deep fade lowers the effective SNR of a whole burst. The unseen Rician channel behaves like AWGN, so the CNN generalized across these fading types.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Leakage check (seed 0): a random window split raised accuracy from 62.7% to 63.9% for the baseline and from 64.8% to 67.5% for the CNN, although 4,114 bursts were shared between train and test. The effect is modest, but it shows that a random split overstates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Cost: the CNN needs 0.19 ms per window vs 0.04 ms for the baseline (including feature or image creation).</w:t>
      </w:r>
    </w:p>
    <w:p>
      <w:pPr>
        <w:pStyle w:val="Heading1"/>
      </w:pPr>
      <w:r>
        <w:t xml:space="preserve">6. Failure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Low SNR, constellation overlap: </w:t>
      </w:r>
      <w:r>
        <w:t xml:space="preserve">at 0 dB, noise blurs the points of QPSK, 16-QAM and 64-QAM into one cloud. BPSK is still recognized perfectly, but the CNN labels 82% to 86% of the other three classes as 64-QAM, and the baseline spreads its errors among them. At 10 dB, 16-QAM and 64-QAM are still confused (the CNN labels 95% of 16-QAM as 64-QAM), and at 20 dB the CNN separates all classes except some 64-QAM errors.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CFO: </w:t>
      </w:r>
      <w:r>
        <w:t xml:space="preserve">with no CFO in training, accuracy drops as the offset grows (CNN 97.9% at 0, 86.2% at 0.002, 67.1% at 0.005) because the rotating constellation smears into rings. Both methods fail the same way at large CFO, which points to the signal physics, not the classifier.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SNR outside the training range: </w:t>
      </w:r>
      <w:r>
        <w:t xml:space="preserve">at −10 dB both methods are near chance (about 27%). At 30 dB the CNN stays at 97.5%, but the baseline stays at 86.9%, most likely because 128 symbols give noisy cumulant estimates for 16-QAM and 64-QAM.</w:t>
      </w:r>
    </w:p>
    <w:p>
      <w:pPr>
        <w:pStyle w:val="Heading1"/>
      </w:pPr>
      <w:r>
        <w:t xml:space="preserve">7. Limitations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data is simulated: flat block fading, no frequency selectivity, perfect symbol timing, no phase noise or hardware impairments, and no CFO in training.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Closed set of four classes, with no rejection of unknown signals; one feature set and one CNN size were tried.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Next steps: train with CFO and run a CFO estimator first, add an unknown-signal reject class (open-set AMC), and test on measured signals.</w:t>
      </w:r>
    </w:p>
    <w:p>
      <w:pPr>
        <w:pStyle w:val="Heading1"/>
      </w:pPr>
      <w:r>
        <w:t xml:space="preserve">8. Code Appendix</w:t>
      </w:r>
    </w:p>
    <w:p>
      <w:pPr>
        <w:spacing w:after="90"/>
      </w:pPr>
      <w:r>
        <w:t xml:space="preserve">Code: modulation_recognition_assignment.ipynb (Google Colab, runs with Runtime &gt; Run all; about 6 minutes on CPU). All parameters are in the first code cell: seeds 0, 1, 2; 128 symbols per window; training SNR −5 to 20 dB; 150 bursts per cell; 15 epochs; batch 128; learning rate 1e-3. Software: Python 3.12, NumPy 2.4, scikit-learn 1.8, PyTorch 2.14. The notebook writes results_main_table.csv and the figures fig_accuracy_vs_snr.png, fig_confusion.png, fig_cfo.png and fig_leakage_training.png.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Title">
    <w:name w:val="Title"/>
    <w:basedOn w:val="Normal"/>
    <w:qFormat/>
    <w:pPr>
      <w:spacing w:after="40"/>
    </w:pPr>
    <w:rPr>
      <w:rFonts w:ascii="Calibri" w:cs="Calibri" w:eastAsia="Calibri" w:hAnsi="Calibri"/>
      <w:b/>
      <w:bCs/>
      <w:color w:val="1F3864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b5cd04785a3f0b2a97c9ddaaaa1dab90430ae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Modulation Recognition Report</dc:title>
  <dc:creator>Un-named</dc:creator>
  <cp:lastModifiedBy>Un-named</cp:lastModifiedBy>
  <cp:revision>1</cp:revision>
  <dcterms:created xsi:type="dcterms:W3CDTF">2026-10-06T06:33:00.772Z</dcterms:created>
  <dcterms:modified xsi:type="dcterms:W3CDTF">2026-10-06T06:33:00.773Z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