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UNIVERSIDAD DE INGENIERÍA Y TECNOLOGÍA</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ESCUELA DE POSGRADO</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2362200" cy="942975"/>
            <wp:effectExtent b="0" l="0" r="0" t="0"/>
            <wp:docPr descr="A black background with a black square  AI-generated content may be incorrect." id="1" name="image1.png"/>
            <a:graphic>
              <a:graphicData uri="http://schemas.openxmlformats.org/drawingml/2006/picture">
                <pic:pic>
                  <pic:nvPicPr>
                    <pic:cNvPr descr="A black background with a black square  AI-generated content may be incorrect." id="0" name="image1.png"/>
                    <pic:cNvPicPr preferRelativeResize="0"/>
                  </pic:nvPicPr>
                  <pic:blipFill>
                    <a:blip r:embed="rId6"/>
                    <a:srcRect b="0" l="0" r="0" t="0"/>
                    <a:stretch>
                      <a:fillRect/>
                    </a:stretch>
                  </pic:blipFill>
                  <pic:spPr>
                    <a:xfrm>
                      <a:off x="0" y="0"/>
                      <a:ext cx="2362200" cy="9429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7">
      <w:pPr>
        <w:spacing w:after="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36"/>
          <w:szCs w:val="36"/>
          <w:rtl w:val="0"/>
        </w:rPr>
        <w:t xml:space="preserve">PROYECTO EDA</w:t>
      </w:r>
    </w:p>
    <w:p w:rsidR="00000000" w:rsidDel="00000000" w:rsidP="00000000" w:rsidRDefault="00000000" w:rsidRPr="00000000" w14:paraId="00000008">
      <w:pPr>
        <w:spacing w:after="10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36"/>
          <w:szCs w:val="36"/>
          <w:rtl w:val="0"/>
        </w:rPr>
        <w:t xml:space="preserve">M</w:t>
      </w:r>
      <w:r w:rsidDel="00000000" w:rsidR="00000000" w:rsidRPr="00000000">
        <w:rPr>
          <w:rFonts w:ascii="Times New Roman" w:cs="Times New Roman" w:eastAsia="Times New Roman" w:hAnsi="Times New Roman"/>
          <w:b w:val="1"/>
          <w:bCs w:val="1"/>
          <w:sz w:val="36"/>
          <w:szCs w:val="36"/>
          <w:rtl w:val="0"/>
        </w:rPr>
        <w:t xml:space="preserve">otor de recomendación para comercio electrónico</w:t>
      </w:r>
      <w:r w:rsidDel="00000000" w:rsidR="00000000" w:rsidRPr="00000000">
        <w:rPr>
          <w:rtl w:val="0"/>
        </w:rPr>
      </w:r>
    </w:p>
    <w:p w:rsidR="00000000" w:rsidDel="00000000" w:rsidP="00000000" w:rsidRDefault="00000000" w:rsidRPr="00000000" w14:paraId="00000009">
      <w:pPr>
        <w:spacing w:after="10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Selenia, Moscosso Flores</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Debora Elsa, Jeronimo Balcazar</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Vanessa Elizabeth, Burbano Quintero</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Angel,Valdivia Bambaren</w:t>
      </w:r>
    </w:p>
    <w:p w:rsidR="00000000" w:rsidDel="00000000" w:rsidP="00000000" w:rsidRDefault="00000000" w:rsidRPr="00000000" w14:paraId="0000001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Mejia Fernandez, Oscar Rodolfo</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Datos y Algoritmmos</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 Perú</w:t>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left"/>
        <w:rPr>
          <w:color w:val="123a69"/>
          <w:sz w:val="30"/>
          <w:szCs w:val="30"/>
        </w:rPr>
      </w:pPr>
      <w:r w:rsidDel="00000000" w:rsidR="00000000" w:rsidRPr="00000000">
        <w:rPr>
          <w:color w:val="123a69"/>
          <w:sz w:val="30"/>
          <w:szCs w:val="30"/>
          <w:rtl w:val="0"/>
        </w:rPr>
        <w:t xml:space="preserve">Resumen ejecutivo</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implementaron tres alternativas para recomendar productos a partir de interacciones de comercio electrónico: un grafo de coocurrencia por sesión, un índice de búsqueda aproximada de vecinos HNSW y un enfoque híbrido. Se utilizó una partición temporal para construir los modelos, seleccionar la configuración híbrida y evaluar su desempeño. En la prueba final, con 119 sesiones elegibles y un catálogo de 2,733 productos, el híbrido 1+4 obtuvo el mayor Hit Rate@5 (19.33%), mientras HNSW alcanzó la mejor Precision@5 (4.71%) y Recall@5 (14.04%). El grafo fue el más rápido (mediana de 0.014 ms). La prueba exacta de McNemar entre HNSW y el híbrido dio p = 1.000, sin evidencia de diferencia significativa en acierto por sesión.</w:t>
      </w:r>
    </w:p>
    <w:p w:rsidR="00000000" w:rsidDel="00000000" w:rsidP="00000000" w:rsidRDefault="00000000" w:rsidRPr="00000000" w14:paraId="00000020">
      <w:pPr>
        <w:pStyle w:val="Heading1"/>
        <w:jc w:val="left"/>
        <w:rPr>
          <w:color w:val="123a69"/>
          <w:sz w:val="30"/>
          <w:szCs w:val="30"/>
        </w:rPr>
      </w:pPr>
      <w:r w:rsidDel="00000000" w:rsidR="00000000" w:rsidRPr="00000000">
        <w:rPr>
          <w:color w:val="123a69"/>
          <w:sz w:val="30"/>
          <w:szCs w:val="30"/>
          <w:rtl w:val="0"/>
        </w:rPr>
        <w:t xml:space="preserve">1. Planteamiento del problema</w:t>
      </w:r>
    </w:p>
    <w:p w:rsidR="00000000" w:rsidDel="00000000" w:rsidP="00000000" w:rsidRDefault="00000000" w:rsidRPr="00000000" w14:paraId="0000002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comercio electrónico, la abundancia de productos dificulta descubrir artículos relevantes. El problema abordado consiste en generar cinco recomendaciones para una sesión a partir de productos observados anteriormente, evitando recomendar los ya conocidos. Se comparan estructuras de datos explícitas (grafos) con recuperación por similitud vectorial (HNSW) y una combinación de ambas.</w:t>
      </w:r>
    </w:p>
    <w:p w:rsidR="00000000" w:rsidDel="00000000" w:rsidP="00000000" w:rsidRDefault="00000000" w:rsidRPr="00000000" w14:paraId="00000022">
      <w:pPr>
        <w:pStyle w:val="Heading1"/>
        <w:jc w:val="left"/>
        <w:rPr>
          <w:color w:val="123a69"/>
          <w:sz w:val="30"/>
          <w:szCs w:val="30"/>
        </w:rPr>
      </w:pPr>
      <w:r w:rsidDel="00000000" w:rsidR="00000000" w:rsidRPr="00000000">
        <w:rPr>
          <w:color w:val="123a69"/>
          <w:sz w:val="30"/>
          <w:szCs w:val="30"/>
          <w:rtl w:val="0"/>
        </w:rPr>
        <w:t xml:space="preserve">2. Objetivos</w:t>
      </w:r>
    </w:p>
    <w:p w:rsidR="00000000" w:rsidDel="00000000" w:rsidP="00000000" w:rsidRDefault="00000000" w:rsidRPr="00000000" w14:paraId="0000002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general: diseñar, implementar y evaluar un motor de recomendación de productos basado en estructuras de datos y algoritmos de búsqueda.</w:t>
      </w:r>
    </w:p>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 específicos: (i) construir un grafo de coocurrencia de productos; (ii) indexar representaciones vectoriales con HNSW; (iii) combinar recomendaciones de ambos enfoques; (iv) comparar calidad y latencia mediante una separación temporal; (v) analizar complejidad temporal y espacial.</w:t>
      </w:r>
    </w:p>
    <w:p w:rsidR="00000000" w:rsidDel="00000000" w:rsidP="00000000" w:rsidRDefault="00000000" w:rsidRPr="00000000" w14:paraId="00000025">
      <w:pPr>
        <w:pStyle w:val="Heading1"/>
        <w:jc w:val="left"/>
        <w:rPr>
          <w:color w:val="123a69"/>
          <w:sz w:val="30"/>
          <w:szCs w:val="30"/>
        </w:rPr>
      </w:pPr>
      <w:r w:rsidDel="00000000" w:rsidR="00000000" w:rsidRPr="00000000">
        <w:rPr>
          <w:color w:val="123a69"/>
          <w:sz w:val="30"/>
          <w:szCs w:val="30"/>
          <w:rtl w:val="0"/>
        </w:rPr>
        <w:t xml:space="preserve">3. Datos y preparación</w:t>
      </w:r>
    </w:p>
    <w:p w:rsidR="00000000" w:rsidDel="00000000" w:rsidP="00000000" w:rsidRDefault="00000000" w:rsidRPr="00000000" w14:paraId="0000002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conjunto trabajado contiene 9,996 eventos de interacción, de los cuales 9,781 son visualizaciones, 118 compras y 97 adiciones al carrito. Incluye 4,148 productos en el catálogo observado y 3,188 sesiones. Los registros corresponden a un intervalo muy corto del 1 de octubre de 2019; esto limita la generalización temporal. La mayor parte de los eventos son visualizaciones, por lo que la evaluación mide principalmente predicción de interacciones futuras, no necesariamente intención de compra.</w:t>
      </w:r>
    </w:p>
    <w:p w:rsidR="00000000" w:rsidDel="00000000" w:rsidP="00000000" w:rsidRDefault="00000000" w:rsidRPr="00000000" w14:paraId="00000027">
      <w:pPr>
        <w:spacing w:after="120" w:lineRule="auto"/>
        <w:rPr>
          <w:rFonts w:ascii="Times New Roman" w:cs="Times New Roman" w:eastAsia="Times New Roman" w:hAnsi="Times New Roman"/>
        </w:rPr>
      </w:pPr>
      <w:r w:rsidDel="00000000" w:rsidR="00000000" w:rsidRPr="00000000">
        <w:rPr>
          <w:rtl w:val="0"/>
        </w:rPr>
      </w:r>
    </w:p>
    <w:tbl>
      <w:tblPr>
        <w:tblStyle w:val="Table1"/>
        <w:tblW w:w="9648.0" w:type="dxa"/>
        <w:jc w:val="center"/>
        <w:tblBorders>
          <w:top w:color="4f81bd" w:space="0" w:sz="8" w:val="single"/>
          <w:bottom w:color="4f81bd" w:space="0" w:sz="8" w:val="single"/>
        </w:tblBorders>
        <w:tblLayout w:type="fixed"/>
        <w:tblLook w:val="04A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Partición temporal</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5,997 (~60%)</w:t>
            </w:r>
          </w:p>
        </w:tc>
        <w:tc>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de modelos</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w:t>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(~10%)</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estrategia</w:t>
            </w:r>
          </w:p>
        </w:tc>
      </w:tr>
      <w:tr>
        <w:trPr>
          <w:cantSplit w:val="0"/>
          <w:tblHeader w:val="0"/>
        </w:trPr>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w:t>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2,999 (~30%)</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final</w:t>
            </w:r>
          </w:p>
        </w:tc>
      </w:tr>
    </w:tbl>
    <w:p w:rsidR="00000000" w:rsidDel="00000000" w:rsidP="00000000" w:rsidRDefault="00000000" w:rsidRPr="00000000" w14:paraId="0000003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conjuntos se ordenaron cronológicamente. Para la evaluación se consideraron como objetivos productos presentes en el catálogo de entrenamiento y que aún no figuraban entre los productos previos de la sesión. La unidad de análisis fue la sesión, no el usuario individual.</w:t>
      </w:r>
    </w:p>
    <w:p w:rsidR="00000000" w:rsidDel="00000000" w:rsidP="00000000" w:rsidRDefault="00000000" w:rsidRPr="00000000" w14:paraId="00000036">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3.1. Alcance de los eventos y riesgo de sesgo</w:t>
      </w:r>
    </w:p>
    <w:p w:rsidR="00000000" w:rsidDel="00000000" w:rsidP="00000000" w:rsidRDefault="00000000" w:rsidRPr="00000000" w14:paraId="000000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unidad de observación es un evento de interacción asociado a un producto y una sesión. Una misma sesión puede contener varios eventos del mismo artículo; por ello, al formar el conjunto de productos de una sesión se eliminan duplicados antes de identificar relaciones o productos objetivo. Este tratamiento evita que la repetición de visualizaciones de un mismo producto se interprete automáticamente como diversidad de intereses.</w:t>
      </w:r>
    </w:p>
    <w:p w:rsidR="00000000" w:rsidDel="00000000" w:rsidP="00000000" w:rsidRDefault="00000000" w:rsidRPr="00000000" w14:paraId="0000003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conjunto contiene 9,781 visualizaciones (97.85 %), 118 compras (1.18 %) y 97 incorporaciones al carrito (0.97 %). En consecuencia, el objetivo experimental se interpreta como predicción de interacciones futuras con productos, no como predicción validada de compras. El fuerte desbalance impide sostener conclusiones de conversión comercial a partir de las métricas actuales.</w:t>
      </w:r>
    </w:p>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partición temporal se utilizó para respetar el orden de ocurrencia: entrenamiento 5,997 eventos (aproximadamente 60 %), validación 1,000 (10 %) y prueba 2,999 (30 %). La selección de la estrategia híbrida se realizó en validación; el conjunto de prueba se reservó para la comparación final. Las estructuras de recomendación empleadas en esta última evaluación se construyeron sobre el conjunto de entrenamiento.</w:t>
      </w:r>
    </w:p>
    <w:p w:rsidR="00000000" w:rsidDel="00000000" w:rsidP="00000000" w:rsidRDefault="00000000" w:rsidRPr="00000000" w14:paraId="0000003A">
      <w:pPr>
        <w:pStyle w:val="Heading1"/>
        <w:jc w:val="left"/>
        <w:rPr>
          <w:color w:val="123a69"/>
          <w:sz w:val="30"/>
          <w:szCs w:val="30"/>
        </w:rPr>
      </w:pPr>
      <w:r w:rsidDel="00000000" w:rsidR="00000000" w:rsidRPr="00000000">
        <w:rPr>
          <w:color w:val="123a69"/>
          <w:sz w:val="30"/>
          <w:szCs w:val="30"/>
          <w:rtl w:val="0"/>
        </w:rPr>
        <w:t xml:space="preserve">4. Diseño de los algoritmos</w:t>
      </w:r>
    </w:p>
    <w:p w:rsidR="00000000" w:rsidDel="00000000" w:rsidP="00000000" w:rsidRDefault="00000000" w:rsidRPr="00000000" w14:paraId="0000003B">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4.1. Grafo de coocurrencia</w:t>
      </w:r>
    </w:p>
    <w:p w:rsidR="00000000" w:rsidDel="00000000" w:rsidP="00000000" w:rsidRDefault="00000000" w:rsidRPr="00000000" w14:paraId="0000003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producto es un vértice. Se establece una arista entre productos observados en una misma sesión; su peso representa la intensidad de coocurrencia conforme a la implementación. Para recomendar, se acumulan los pesos de los vecinos de los productos previos y se ordenan los candidatos, excluyendo productos ya observados.</w:t>
      </w:r>
    </w:p>
    <w:p w:rsidR="00000000" w:rsidDel="00000000" w:rsidP="00000000" w:rsidRDefault="00000000" w:rsidRPr="00000000" w14:paraId="0000003D">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4.2. Índice HNSW</w:t>
      </w:r>
    </w:p>
    <w:p w:rsidR="00000000" w:rsidDel="00000000" w:rsidP="00000000" w:rsidRDefault="00000000" w:rsidRPr="00000000" w14:paraId="000000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representan productos mediante vectores numéricos y se construye un índice Hierarchical Navigable Small World para recuperar vecinos aproximados. La consulta forma una representación agregada de los productos previos, recupera candidatos y excluye artículos ya observados. El índice final contiene 2,733 productos y vectores de 978 dimensiones.</w:t>
      </w:r>
    </w:p>
    <w:p w:rsidR="00000000" w:rsidDel="00000000" w:rsidP="00000000" w:rsidRDefault="00000000" w:rsidRPr="00000000" w14:paraId="0000003F">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4.3. Estrategia híbrida</w:t>
      </w:r>
    </w:p>
    <w:p w:rsidR="00000000" w:rsidDel="00000000" w:rsidP="00000000" w:rsidRDefault="00000000" w:rsidRPr="00000000" w14:paraId="0000004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evaluaron cuatro configuraciones de prioridad: 4+1, 3+2, 2+3 y 1+4 (HNSW + grafo). La estrategia 1+4 fue seleccionada en validación. Se prioriza un candidato de HNSW y cuatro del grafo, completando las posiciones con candidatos disponibles sin duplicados ni productos previamente observados. Esta regla no equivale a una fusión ponderada de puntuaciones; es una selección por cuotas con relleno.</w:t>
      </w:r>
    </w:p>
    <w:p w:rsidR="00000000" w:rsidDel="00000000" w:rsidP="00000000" w:rsidRDefault="00000000" w:rsidRPr="00000000" w14:paraId="00000041">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4.4. Flujo operativo de una recomendación</w:t>
      </w:r>
    </w:p>
    <w:p w:rsidR="00000000" w:rsidDel="00000000" w:rsidP="00000000" w:rsidRDefault="00000000" w:rsidRPr="00000000" w14:paraId="0000004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Primero se identifica el conjunto de productos previamente observados en la sesión. El motor de grafo suma los pesos de los vecinos de dichos productos y ordena candidatos no observados. En paralelo, el motor HNSW calcula un vector de consulta a partir de las representaciones de los productos previos y recupera vecinos aproximados del índice.</w:t>
      </w:r>
    </w:p>
    <w:p w:rsidR="00000000" w:rsidDel="00000000" w:rsidP="00000000" w:rsidRDefault="00000000" w:rsidRPr="00000000" w14:paraId="0000004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híbrida 1+4 prioriza un candidato de HNSW y completa con candidatos del grafo; cuando existen coincidencias o faltan candidatos, se rellenan posiciones con candidatos válidos disponibles. En todos los casos se excluyen artículos previamente vistos y se eliminan duplicados. En validación se verificó que las 102 sesiones recibieron cinco recomendaciones distintas.</w:t>
      </w:r>
    </w:p>
    <w:p w:rsidR="00000000" w:rsidDel="00000000" w:rsidP="00000000" w:rsidRDefault="00000000" w:rsidRPr="00000000" w14:paraId="0000004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arquitectura combina dos señales: relaciones de coocurrencia observadas e información de similitud vectorial. Su principal ventaja potencial es la complementariedad; su costo adicional consiste en ejecutar ambas consultas y fusionar resultados. Las cuotas expresan prioridades de incorporación, no una garantía de procedencia exclusiva cuando se aplican mecanismos de relleno.</w:t>
      </w:r>
    </w:p>
    <w:p w:rsidR="00000000" w:rsidDel="00000000" w:rsidP="00000000" w:rsidRDefault="00000000" w:rsidRPr="00000000" w14:paraId="00000045">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4.5. Arquitectura de la solución</w:t>
      </w:r>
    </w:p>
    <w:p w:rsidR="00000000" w:rsidDel="00000000" w:rsidP="00000000" w:rsidRDefault="00000000" w:rsidRPr="00000000" w14:paraId="0000004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se organiza en dos flujos lógicos. En la preparación offline, los eventos se ordenan temporalmente y se separan en entrenamiento, validación y prueba. Con entrenamiento se construyen el grafo de coocurrencia y el índice vectorial HNSW. En la inferencia, el historial de una sesión alimenta ambos motores, cuyos candidatos se combinan mediante la configuración híbrida 1+4 seleccionada previamente en validación.</w:t>
      </w:r>
    </w:p>
    <w:p w:rsidR="00000000" w:rsidDel="00000000" w:rsidP="00000000" w:rsidRDefault="00000000" w:rsidRPr="00000000" w14:paraId="00000047">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486400" cy="3467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Figura 1. Arquitectura lógica del motor de recomendación (elaboración propia).</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y responsabilidades. La fuente de eventos contiene las interacciones y los identificadores de sesión y producto; la partición temporal protege la evaluación frente al uso de eventos posteriores. El grafo almacena relaciones ponderadas entre productos observados en sesiones; HNSW indexa sus representaciones vectoriales. La capa de fusión prioriza un candidato HNSW y hasta cuatro del grafo, completa vacantes y elimina elementos ya observados o repetidos. La salida es un ranking de hasta cinco productos.</w:t>
      </w:r>
    </w:p>
    <w:p w:rsidR="00000000" w:rsidDel="00000000" w:rsidP="00000000" w:rsidRDefault="00000000" w:rsidRPr="00000000" w14:paraId="0000004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de implementación. Se trata de una arquitectura lógica ejecutada y evaluada en Python/Google Colab; no se implementaron ni midieron una API, base de datos operativa, interfaz web o despliegue distribuido. Las métricas de latencia son mediciones del prototipo, no compromisos de servicio de producción.</w:t>
      </w:r>
    </w:p>
    <w:p w:rsidR="00000000" w:rsidDel="00000000" w:rsidP="00000000" w:rsidRDefault="00000000" w:rsidRPr="00000000" w14:paraId="0000004B">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4.6. Arquitectura obligatoria de diez etapas</w:t>
      </w:r>
    </w:p>
    <w:p w:rsidR="00000000" w:rsidDel="00000000" w:rsidP="00000000" w:rsidRDefault="00000000" w:rsidRPr="00000000" w14:paraId="0000004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las bases del curso, la arquitectura es un pipeline integrado de diez etapas (0–9). No basta con implementar algoritmos de forma aislada: la salida de cada etapa debe alimentar una etapa posterior y la demostración debe seguir un evento hasta una salida observable. La Figura de la sección 4.5 representa el subsistema de recomendaciones; el siguiente mapa representa el alcance integral requerido.</w:t>
      </w:r>
    </w:p>
    <w:tbl>
      <w:tblPr>
        <w:tblStyle w:val="Table2"/>
        <w:tblW w:w="9648.0" w:type="dxa"/>
        <w:jc w:val="center"/>
        <w:tblBorders>
          <w:top w:color="4f81bd" w:space="0" w:sz="8" w:val="single"/>
          <w:bottom w:color="4f81bd" w:space="0" w:sz="8" w:val="single"/>
        </w:tblBorders>
        <w:tblLayout w:type="fixed"/>
        <w:tblLook w:val="04A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Etapa</w:t>
            </w: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Función</w:t>
            </w: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Estructura / algoritmo</w:t>
            </w: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Estado de revisión</w:t>
            </w:r>
            <w:r w:rsidDel="00000000" w:rsidR="00000000" w:rsidRPr="00000000">
              <w:rPr>
                <w:rtl w:val="0"/>
              </w:rPr>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Ingesta y buffer</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Cola FIFO / deque</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integración por verificar</w:t>
            </w: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Preprocesamiento</w:t>
            </w: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Ordenación, búsqueda binaria, deduplicación</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integración por verificar</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Priorización</w:t>
            </w: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Min-heap</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integración por verificar</w:t>
            </w: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Lookup y caché</w:t>
            </w: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Hash, matriz dispersa, LRU cuando aplique</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Verificar evidencia de cada componente</w:t>
            </w:r>
            <w:r w:rsidDel="00000000" w:rsidR="00000000" w:rsidRPr="00000000">
              <w:rPr>
                <w:rtl w:val="0"/>
              </w:rPr>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Índice principal</w:t>
            </w: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B+Tree</w:t>
            </w: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integración por verificar</w:t>
            </w:r>
            <w:r w:rsidDel="00000000" w:rsidR="00000000" w:rsidRPr="00000000">
              <w:rPr>
                <w:rtl w:val="0"/>
              </w:rPr>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Índice espacial y KNN exacto</w:t>
            </w: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KD-Tree / KNN exacto</w:t>
            </w: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validar benchmark</w:t>
            </w: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Filtrado probabilístico</w:t>
            </w: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Bloom Filter y Count-Min Sketch</w:t>
            </w: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validar falsos positivos/error</w:t>
            </w:r>
            <w:r w:rsidDel="00000000" w:rsidR="00000000" w:rsidRPr="00000000">
              <w:rPr>
                <w:rtl w:val="0"/>
              </w:rPr>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Similitud aproximada</w:t>
            </w:r>
            <w:r w:rsidDel="00000000" w:rsidR="00000000" w:rsidRPr="00000000">
              <w:rPr>
                <w:rtl w:val="0"/>
              </w:rPr>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MinHash + LSH y HNSW</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contrastar con exacto</w:t>
            </w:r>
            <w:r w:rsidDel="00000000" w:rsidR="00000000" w:rsidRPr="00000000">
              <w:rPr>
                <w:rtl w:val="0"/>
              </w:rPr>
            </w:r>
          </w:p>
        </w:tc>
      </w:tr>
      <w:tr>
        <w:trPr>
          <w:cantSplit w:val="0"/>
          <w:tblHeader w:val="0"/>
        </w:trPr>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Grafo de dominio</w:t>
            </w:r>
            <w:r w:rsidDel="00000000" w:rsidR="00000000" w:rsidRPr="00000000">
              <w:rPr>
                <w:rtl w:val="0"/>
              </w:rPr>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PageRank y Louvain</w:t>
            </w: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Código identificado; verificar definición de co-compra</w:t>
            </w:r>
            <w:r w:rsidDel="00000000" w:rsidR="00000000" w:rsidRPr="00000000">
              <w:rPr>
                <w:rtl w:val="0"/>
              </w:rPr>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Servicio y visualización</w:t>
            </w: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Top-K, panel y autocompletado si aplica</w:t>
            </w: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Verificar demostración extremo a extremo</w:t>
            </w:r>
            <w:r w:rsidDel="00000000" w:rsidR="00000000" w:rsidRPr="00000000">
              <w:rPr>
                <w:rtl w:val="0"/>
              </w:rPr>
            </w:r>
          </w:p>
        </w:tc>
      </w:tr>
    </w:tbl>
    <w:p w:rsidR="00000000" w:rsidDel="00000000" w:rsidP="00000000" w:rsidRDefault="00000000" w:rsidRPr="00000000" w14:paraId="0000007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 de trazabilidad. La presencia de celdas en el notebook permite identificar implementaciones, pero no confirma todavía su ejecución satisfactoria, su encadenamiento ni el cumplimiento de todas las métricas exigidas. Esta tabla es una auditoría preliminar, no una certificación de cumplimiento.</w:t>
      </w:r>
    </w:p>
    <w:p w:rsidR="00000000" w:rsidDel="00000000" w:rsidP="00000000" w:rsidRDefault="00000000" w:rsidRPr="00000000" w14:paraId="0000007A">
      <w:pPr>
        <w:pStyle w:val="Heading2"/>
        <w:rPr>
          <w:rFonts w:ascii="Times New Roman" w:cs="Times New Roman" w:eastAsia="Times New Roman" w:hAnsi="Times New Roman"/>
          <w:color w:val="123a69"/>
          <w:sz w:val="24"/>
          <w:szCs w:val="24"/>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4.7. Contrato de integración entre etapas</w:t>
      </w:r>
    </w:p>
    <w:p w:rsidR="00000000" w:rsidDel="00000000" w:rsidP="00000000" w:rsidRDefault="00000000" w:rsidRPr="00000000" w14:paraId="0000007C">
      <w:pPr>
        <w:spacing w:after="120" w:lineRule="auto"/>
        <w:rPr>
          <w:rFonts w:ascii="Times New Roman" w:cs="Times New Roman" w:eastAsia="Times New Roman" w:hAnsi="Times New Roman"/>
        </w:rPr>
      </w:pPr>
      <w:r w:rsidDel="00000000" w:rsidR="00000000" w:rsidRPr="00000000">
        <w:rPr>
          <w:rFonts w:ascii="Cardo" w:cs="Cardo" w:eastAsia="Cardo" w:hAnsi="Cardo"/>
          <w:rtl w:val="0"/>
        </w:rPr>
        <w:t xml:space="preserve">Flujo funcional previsto para la opción B: evento de búsqueda, vista, carrito o compra → buffer FIFO → validación, ordenación y deduplicación → heap de prioridad → consultas y actualización de estructuras de almacenamiento → índices de búsqueda → filtrado probabilístico de señales sospechosas → similitud aproximada → actualización y análisis del grafo → salida Top-K, alerta o visualización. Las derivaciones en paralelo son válidas siempre que exista trazabilidad de entradas y salidas. El código deberá registrar un identificador de evento y la salida producida por cada bloque para probar la integración.</w:t>
      </w:r>
    </w:p>
    <w:p w:rsidR="00000000" w:rsidDel="00000000" w:rsidP="00000000" w:rsidRDefault="00000000" w:rsidRPr="00000000" w14:paraId="0000007D">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4.8. Requisitos particulares del escenario de comercio electrónico</w:t>
      </w:r>
    </w:p>
    <w:p w:rsidR="00000000" w:rsidDel="00000000" w:rsidP="00000000" w:rsidRDefault="00000000" w:rsidRPr="00000000" w14:paraId="0000007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bases definen el grafo de dominio como productos conectados por compras dentro de una misma orden, con aristas ponderadas. El grafo de coocurrencia de sesiones usado para las recomendaciones actuales no es automáticamente equivalente al grafo de co-compra; debe documentarse como variante o complementarse con el grafo de órdenes cuando existan datos adecuados. El escenario de referencia plantea diez millones de eventos: el experimento actual utiliza una muestra de 9.996 eventos, por lo que no acredita todavía la escala objetivo.</w:t>
      </w:r>
    </w:p>
    <w:p w:rsidR="00000000" w:rsidDel="00000000" w:rsidP="00000000" w:rsidRDefault="00000000" w:rsidRPr="00000000" w14:paraId="0000007F">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4.9. Brechas de experimentación que deben cerrarse</w:t>
      </w:r>
    </w:p>
    <w:p w:rsidR="00000000" w:rsidDel="00000000" w:rsidP="00000000" w:rsidRDefault="00000000" w:rsidRPr="00000000" w14:paraId="0000008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bases exigen escalas 1K, 10K, 100K, 1M y 10M; repeticiones cuando sea viable; promedio, desviación estándar, plataforma y semilla; memoria actual y pico; curvas log-log; y comparaciones Bloom/Count-Min contra exactos, MinHash/LSH contra fuerza bruta, ANN contra KNN exacto y comunidades contra una alternativa simple. Los resultados de recomendación de 119 sesiones siguen siendo válidos para su evaluación acotada, pero no sustituyen estos benchmarks del pipeline completo.</w:t>
      </w:r>
    </w:p>
    <w:p w:rsidR="00000000" w:rsidDel="00000000" w:rsidP="00000000" w:rsidRDefault="00000000" w:rsidRPr="00000000" w14:paraId="0000008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Implicancia para la sustentación. La demo deberá mostrar un evento real o simulado atravesando el pipeline y produciendo una recomendación, alerta, ranking o salida observable. Las conclusiones deben distinguir con claridad resultados medidos, módulos implementados y componentes pendientes de validación.</w:t>
      </w:r>
    </w:p>
    <w:p w:rsidR="00000000" w:rsidDel="00000000" w:rsidP="00000000" w:rsidRDefault="00000000" w:rsidRPr="00000000" w14:paraId="00000082">
      <w:pPr>
        <w:pStyle w:val="Heading1"/>
        <w:jc w:val="left"/>
        <w:rPr>
          <w:color w:val="123a69"/>
          <w:sz w:val="30"/>
          <w:szCs w:val="30"/>
        </w:rPr>
      </w:pPr>
      <w:r w:rsidDel="00000000" w:rsidR="00000000" w:rsidRPr="00000000">
        <w:rPr>
          <w:color w:val="123a69"/>
          <w:sz w:val="30"/>
          <w:szCs w:val="30"/>
          <w:rtl w:val="0"/>
        </w:rPr>
        <w:t xml:space="preserve">5. Estructuras y complejidad computacional</w:t>
      </w:r>
    </w:p>
    <w:tbl>
      <w:tblPr>
        <w:tblStyle w:val="Table3"/>
        <w:tblW w:w="9648.0" w:type="dxa"/>
        <w:jc w:val="center"/>
        <w:tblBorders>
          <w:top w:color="4f81bd" w:space="0" w:sz="8" w:val="single"/>
          <w:bottom w:color="4f81bd" w:space="0" w:sz="8" w:val="single"/>
        </w:tblBorders>
        <w:tblLayout w:type="fixed"/>
        <w:tblLook w:val="04A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final</w:t>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Vértices del grafo</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2,733</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Aristas del grafo</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5,252</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Grado promedio</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3.8434</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indexados HNSW</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2,733</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Dimensión vectorial</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978</w:t>
            </w:r>
          </w:p>
        </w:tc>
      </w:tr>
    </w:tbl>
    <w:p w:rsidR="00000000" w:rsidDel="00000000" w:rsidP="00000000" w:rsidRDefault="00000000" w:rsidRPr="00000000" w14:paraId="0000008F">
      <w:pPr>
        <w:spacing w:after="120" w:lineRule="auto"/>
        <w:rPr>
          <w:rFonts w:ascii="Times New Roman" w:cs="Times New Roman" w:eastAsia="Times New Roman" w:hAnsi="Times New Roman"/>
        </w:rPr>
      </w:pPr>
      <w:r w:rsidDel="00000000" w:rsidR="00000000" w:rsidRPr="00000000">
        <w:rPr>
          <w:rtl w:val="0"/>
        </w:rPr>
      </w:r>
    </w:p>
    <w:tbl>
      <w:tblPr>
        <w:tblStyle w:val="Table4"/>
        <w:tblW w:w="9648.0" w:type="dxa"/>
        <w:jc w:val="center"/>
        <w:tblBorders>
          <w:top w:color="4f81bd" w:space="0" w:sz="8" w:val="single"/>
          <w:bottom w:color="4f81bd" w:space="0" w:sz="8" w:val="single"/>
        </w:tblBorders>
        <w:tblLayout w:type="fixed"/>
        <w:tblLook w:val="04A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asintótico / consideración</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de listas de adyacencia a partir de aristas</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 una vez disponibles las aristas</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al grafo</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O(Σ grado(v) + C log C), para los productos previos y C candidatos</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de consulta HNSW</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O(s·d), con s productos previos y d dimensiones</w:t>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HNSW</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Aproximada; depende de topología, parámetros y datos; no se garantiza O(log V) en peor caso</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híbrida</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ambas consultas más fusión de candidatos</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Memoria del grafo</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 + E), en listas de adyacencia</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Memoria de vectores</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O(V·d), más estructura del índice HNSW</w:t>
            </w:r>
          </w:p>
        </w:tc>
      </w:tr>
    </w:tbl>
    <w:p w:rsidR="00000000" w:rsidDel="00000000" w:rsidP="00000000" w:rsidRDefault="00000000" w:rsidRPr="00000000" w14:paraId="000000A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generación de aristas de coocurrencia a partir de sesiones tiene un costo adicional que depende de los tamaños de las sesiones; la tabla anterior describe la construcción de la estructura una vez definidas las aristas. Los costos de búsqueda HNSW no deben presentarse como garantías de peor caso.</w:t>
      </w:r>
    </w:p>
    <w:p w:rsidR="00000000" w:rsidDel="00000000" w:rsidP="00000000" w:rsidRDefault="00000000" w:rsidRPr="00000000" w14:paraId="000000A2">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5.1. Análisis temporal y espacial de las estructuras</w:t>
      </w:r>
    </w:p>
    <w:p w:rsidR="00000000" w:rsidDel="00000000" w:rsidP="00000000" w:rsidRDefault="00000000" w:rsidRPr="00000000" w14:paraId="000000A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grafo final contiene 2,733 vértices y 5,252 aristas, con grado promedio 3.8434. Una representación mediante listas de adyacencia requiere memoria O(V + E), donde V es el número de productos y E el número de relaciones. La consulta explora los vecinos de los s productos previos y ordena C candidatos distintos: O(Σ grado(v) + C log C). El costo depende del número de vecinos efectivamente recorridos, no solo del total de vértices.</w:t>
      </w:r>
    </w:p>
    <w:p w:rsidR="00000000" w:rsidDel="00000000" w:rsidP="00000000" w:rsidRDefault="00000000" w:rsidRPr="00000000" w14:paraId="000000A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índice HNSW contiene 2,733 productos representados en 978 dimensiones. La matriz de vectores ocupa O(Vd) valores numéricos, a los que se agrega la memoria de enlaces multinivel del índice. Formar el vector de consulta por promedio de s representaciones cuesta O(sd). La búsqueda aproximada suele ser eficiente en la práctica, pero su complejidad depende de la distribución, los parámetros y la implementación; no corresponde presentarla como O(log V) garantizado.</w:t>
      </w:r>
    </w:p>
    <w:p w:rsidR="00000000" w:rsidDel="00000000" w:rsidP="00000000" w:rsidRDefault="00000000" w:rsidRPr="00000000" w14:paraId="000000A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motor híbrido realiza ambas consultas. Su tiempo total es aproximadamente T_HNSW + T_grafo + T_fusión. En este experimento la fusión trabaja con listas cortas de candidatos y no domina el costo, pero el tiempo observado también depende del entorno de ejecución, la carga de Colab y el calentamiento del índice. Los tiempos reportados son medianas de mediciones de ejecución, no estimaciones de rendimiento en producción.</w:t>
      </w:r>
    </w:p>
    <w:p w:rsidR="00000000" w:rsidDel="00000000" w:rsidP="00000000" w:rsidRDefault="00000000" w:rsidRPr="00000000" w14:paraId="000000A6">
      <w:pPr>
        <w:pStyle w:val="Heading1"/>
        <w:jc w:val="left"/>
        <w:rPr>
          <w:color w:val="123a69"/>
          <w:sz w:val="30"/>
          <w:szCs w:val="30"/>
        </w:rPr>
      </w:pPr>
      <w:r w:rsidDel="00000000" w:rsidR="00000000" w:rsidRPr="00000000">
        <w:rPr>
          <w:color w:val="123a69"/>
          <w:sz w:val="30"/>
          <w:szCs w:val="30"/>
          <w:rtl w:val="0"/>
        </w:rPr>
        <w:t xml:space="preserve">6. Metodología de evaluación</w:t>
      </w:r>
    </w:p>
    <w:p w:rsidR="00000000" w:rsidDel="00000000" w:rsidP="00000000" w:rsidRDefault="00000000" w:rsidRPr="00000000" w14:paraId="000000A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utilizaron Hit Rate@5 (proporción de sesiones con al menos un acierto), Precision@5 (número de aciertos dividido entre cinco), Recall@5 (aciertos divididos entre el número de objetivos relevantes) y latencia mediana por consulta. Las estrategias híbridas se eligieron exclusivamente con validación. La prueba final se reservó para estimar desempeño fuera de la selección de configuración.</w:t>
      </w:r>
    </w:p>
    <w:p w:rsidR="00000000" w:rsidDel="00000000" w:rsidP="00000000" w:rsidRDefault="00000000" w:rsidRPr="00000000" w14:paraId="000000A8">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6.1. Auditoría de sesiones de prueba</w:t>
      </w:r>
    </w:p>
    <w:tbl>
      <w:tblPr>
        <w:tblStyle w:val="Table5"/>
        <w:tblW w:w="9648.0" w:type="dxa"/>
        <w:jc w:val="center"/>
        <w:tblBorders>
          <w:top w:color="4f81bd" w:space="0" w:sz="8" w:val="single"/>
          <w:bottom w:color="4f81bd" w:space="0" w:sz="8" w:val="single"/>
        </w:tblBorders>
        <w:tblLayout w:type="fixed"/>
        <w:tblLook w:val="04A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Presentes tanto en entrenamiento como en prueba</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objetivos existentes en catálogo de entrenamiento</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al menos un objetivo nuevo para la sesión</w:t>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finalmente evaluadas</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r>
    </w:tbl>
    <w:p w:rsidR="00000000" w:rsidDel="00000000" w:rsidP="00000000" w:rsidRDefault="00000000" w:rsidRPr="00000000" w14:paraId="000000B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total de 119 coincide con el número utilizado en la evaluación final. En un análisis preliminar se informó de 164 sesiones bajo otro procedimiento; al no disponer de una conciliación completa de ambas definiciones, no se mezclan esas cifras ni sus resultados.</w:t>
      </w:r>
    </w:p>
    <w:p w:rsidR="00000000" w:rsidDel="00000000" w:rsidP="00000000" w:rsidRDefault="00000000" w:rsidRPr="00000000" w14:paraId="000000B5">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6.2. Definiciones y condiciones de comparabilidad</w:t>
      </w:r>
    </w:p>
    <w:p w:rsidR="00000000" w:rsidDel="00000000" w:rsidP="00000000" w:rsidRDefault="00000000" w:rsidRPr="00000000" w14:paraId="000000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Rate@5 vale uno cuando existe al menos un producto objetivo entre las cinco recomendaciones de una sesión y cero en caso contrario. Precision@5 divide la cantidad de productos objetivo acertados entre cinco. Recall@5 divide los aciertos entre la cantidad de objetivos elegibles de esa sesión. Las tres métricas se promedian sobre el mismo conjunto de sesiones para que la comparación entre métodos sea pareada.</w:t>
      </w:r>
    </w:p>
    <w:p w:rsidR="00000000" w:rsidDel="00000000" w:rsidP="00000000" w:rsidRDefault="00000000" w:rsidRPr="00000000" w14:paraId="000000B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auditoría de prueba identificó 240 sesiones compartidas entre entrenamiento y prueba; 161 tenían al menos un objetivo dentro del catálogo de entrenamiento y 119 conservaban al menos un objetivo nuevo después de excluir los productos previamente observados. Solo estas 119 sesiones integran la evaluación final. Este filtro define una tarea de recomendación de artículos conocidos para sesiones existentes, y no evalúa usuarios o productos completamente nuevos.</w:t>
      </w:r>
    </w:p>
    <w:p w:rsidR="00000000" w:rsidDel="00000000" w:rsidP="00000000" w:rsidRDefault="00000000" w:rsidRPr="00000000" w14:paraId="000000B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exacta de McNemar contrasta los aciertos binarios de dos modelos sobre las mismas sesiones. No evalúa directamente diferencias de Precision@5, Recall@5 ni latencia. Un valor p elevado no demuestra equivalencia entre modelos: únicamente indica que los datos observados no ofrecen evidencia suficiente para rechazar la igualdad de probabilidades de acierto.</w:t>
      </w:r>
    </w:p>
    <w:p w:rsidR="00000000" w:rsidDel="00000000" w:rsidP="00000000" w:rsidRDefault="00000000" w:rsidRPr="00000000" w14:paraId="000000B9">
      <w:pPr>
        <w:pStyle w:val="Heading1"/>
        <w:jc w:val="left"/>
        <w:rPr>
          <w:color w:val="123a69"/>
          <w:sz w:val="30"/>
          <w:szCs w:val="30"/>
        </w:rPr>
      </w:pPr>
      <w:r w:rsidDel="00000000" w:rsidR="00000000" w:rsidRPr="00000000">
        <w:rPr>
          <w:color w:val="123a69"/>
          <w:sz w:val="30"/>
          <w:szCs w:val="30"/>
          <w:rtl w:val="0"/>
        </w:rPr>
        <w:t xml:space="preserve">7. Resultados experimentales</w:t>
      </w:r>
    </w:p>
    <w:p w:rsidR="00000000" w:rsidDel="00000000" w:rsidP="00000000" w:rsidRDefault="00000000" w:rsidRPr="00000000" w14:paraId="000000BA">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7.1. Selección mediante validación</w:t>
      </w:r>
    </w:p>
    <w:tbl>
      <w:tblPr>
        <w:tblStyle w:val="Table6"/>
        <w:tblW w:w="9650.0" w:type="dxa"/>
        <w:jc w:val="center"/>
        <w:tblBorders>
          <w:top w:color="4f81bd" w:space="0" w:sz="8" w:val="single"/>
          <w:bottom w:color="4f81bd" w:space="0" w:sz="8" w:val="single"/>
        </w:tblBorders>
        <w:tblLayout w:type="fixed"/>
        <w:tblLook w:val="04A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w:t>
            </w:r>
          </w:p>
        </w:tc>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Rate@5</w:t>
            </w:r>
          </w:p>
        </w:tc>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Precision@5</w:t>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Recall@5</w:t>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 mediana (ms)</w:t>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Híbrido 1+4</w:t>
            </w:r>
          </w:p>
        </w:tc>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17.65%</w:t>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15.23%</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Híbrido 3+2</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17.65%</w:t>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15.03%</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w:t>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Híbrido 4+1</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16.67%</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14.54%</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0.213</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Híbrido 2+3</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15.69%</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w:t>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13.27%</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r>
    </w:tbl>
    <w:p w:rsidR="00000000" w:rsidDel="00000000" w:rsidP="00000000" w:rsidRDefault="00000000" w:rsidRPr="00000000" w14:paraId="000000D4">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eligió 1+4 por igualar el mayor Hit Rate y registrar la mejor Precision y Recall entre las combinaciones probadas. En 102 sesiones de validación, todas las recomendaciones del híbrido ganador tuvieron longitud cinco y no presentaron duplicados.</w:t>
      </w:r>
    </w:p>
    <w:p w:rsidR="00000000" w:rsidDel="00000000" w:rsidP="00000000" w:rsidRDefault="00000000" w:rsidRPr="00000000" w14:paraId="000000D6">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7.2. Evaluación final en prueba</w:t>
      </w:r>
    </w:p>
    <w:tbl>
      <w:tblPr>
        <w:tblStyle w:val="Table7"/>
        <w:tblW w:w="9648.0" w:type="dxa"/>
        <w:jc w:val="center"/>
        <w:tblBorders>
          <w:top w:color="4f81bd" w:space="0" w:sz="8" w:val="single"/>
          <w:bottom w:color="4f81bd" w:space="0" w:sz="8" w:val="single"/>
        </w:tblBorders>
        <w:tblLayout w:type="fixed"/>
        <w:tblLook w:val="04A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w:t>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Rate@5</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Precision@5</w:t>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Recall@5</w:t>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 mediana (ms)</w:t>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Grafo</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10.08%</w:t>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6.09%</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0.01442</w:t>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HNSW</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18.49%</w:t>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4.71%</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0.09595</w:t>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Híbrido 1+4</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13.59%</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0.10171</w:t>
            </w:r>
          </w:p>
        </w:tc>
      </w:tr>
    </w:tbl>
    <w:p w:rsidR="00000000" w:rsidDel="00000000" w:rsidP="00000000" w:rsidRDefault="00000000" w:rsidRPr="00000000" w14:paraId="000000E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híbrido acertó en 23 sesiones, HNSW en 22 y el grafo en 12. Sin embargo, HNSW alcanzó más aciertos individuales sobre productos objetivo, reflejados en mayor precisión y recall. Por ello, la ventaja del híbrido no es general para todas las métricas.</w:t>
      </w:r>
    </w:p>
    <w:p w:rsidR="00000000" w:rsidDel="00000000" w:rsidP="00000000" w:rsidRDefault="00000000" w:rsidRPr="00000000" w14:paraId="000000F1">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7.3. Significancia estadística</w:t>
      </w:r>
    </w:p>
    <w:tbl>
      <w:tblPr>
        <w:tblStyle w:val="Table8"/>
        <w:tblW w:w="9648.0" w:type="dxa"/>
        <w:jc w:val="center"/>
        <w:tblBorders>
          <w:top w:color="4f81bd" w:space="0" w:sz="8" w:val="single"/>
          <w:bottom w:color="4f81bd" w:space="0" w:sz="8" w:val="single"/>
        </w:tblBorders>
        <w:tblLayout w:type="fixed"/>
        <w:tblLook w:val="04A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de acierto por sesión</w:t>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sesiones</w:t>
            </w:r>
          </w:p>
        </w:tc>
      </w:tr>
      <w:tr>
        <w:trPr>
          <w:cantSplit w:val="0"/>
          <w:tblHeader w:val="0"/>
        </w:trPr>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aciertan</w:t>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HNSW acierta</w:t>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híbrido acierta</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acierta</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w:t>
            </w:r>
          </w:p>
        </w:tc>
      </w:tr>
    </w:tbl>
    <w:p w:rsidR="00000000" w:rsidDel="00000000" w:rsidP="00000000" w:rsidRDefault="00000000" w:rsidRPr="00000000" w14:paraId="000000F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prueba exacta de McNemar sobre los 15 casos discordantes obtuvo p = 1.000. No se rechaza la hipótesis de igualdad de probabilidades marginales de acierto al nivel α = 0.05. Este resultado no demuestra equivalencia de los modelos ni ausencia de diferencias: indica que los datos disponibles no aportan evidencia suficiente de una diferencia en Hit Rate.</w:t>
      </w:r>
    </w:p>
    <w:p w:rsidR="00000000" w:rsidDel="00000000" w:rsidP="00000000" w:rsidRDefault="00000000" w:rsidRPr="00000000" w14:paraId="000000FE">
      <w:pPr>
        <w:pStyle w:val="Heading1"/>
        <w:jc w:val="left"/>
        <w:rPr>
          <w:color w:val="123a69"/>
          <w:sz w:val="30"/>
          <w:szCs w:val="30"/>
        </w:rPr>
      </w:pPr>
      <w:r w:rsidDel="00000000" w:rsidR="00000000" w:rsidRPr="00000000">
        <w:rPr>
          <w:color w:val="123a69"/>
          <w:sz w:val="30"/>
          <w:szCs w:val="30"/>
          <w:rtl w:val="0"/>
        </w:rPr>
        <w:t xml:space="preserve">8. Discusión y limitaciones</w:t>
      </w:r>
    </w:p>
    <w:p w:rsidR="00000000" w:rsidDel="00000000" w:rsidP="00000000" w:rsidRDefault="00000000" w:rsidRPr="00000000" w14:paraId="000000F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grafo ofrece consultas rápidas y una representación interpretable, pero depende de las conexiones observadas. HNSW mejora la recuperación sin exigir aristas directas, a costa de mayor memoria e indexación. El híbrido logra un pequeño incremento de Hit Rate respecto de HNSW, pero con menor Precision y Recall en prueba y sin significancia estadística.</w:t>
      </w:r>
    </w:p>
    <w:p w:rsidR="00000000" w:rsidDel="00000000" w:rsidP="00000000" w:rsidRDefault="00000000" w:rsidRPr="00000000" w14:paraId="000001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 principales: (i) ventana temporal de datos muy corta; (ii) fuerte predominio de visualizaciones frente a compras; (iii) tamaño reducido de sesiones evaluables; (iv) filtrado a productos existentes en entrenamiento; (v) latencias medidas en un entorno de ejecución específico; (vi) las conclusiones corresponden a predicción de interacciones, no a impacto comercial, conversión o satisfacción.</w:t>
      </w:r>
    </w:p>
    <w:p w:rsidR="00000000" w:rsidDel="00000000" w:rsidP="00000000" w:rsidRDefault="00000000" w:rsidRPr="00000000" w14:paraId="00000101">
      <w:pPr>
        <w:pStyle w:val="Heading2"/>
        <w:rPr>
          <w:rFonts w:ascii="Times New Roman" w:cs="Times New Roman" w:eastAsia="Times New Roman" w:hAnsi="Times New Roman"/>
          <w:color w:val="123a69"/>
          <w:sz w:val="24"/>
          <w:szCs w:val="24"/>
        </w:rPr>
      </w:pPr>
      <w:r w:rsidDel="00000000" w:rsidR="00000000" w:rsidRPr="00000000">
        <w:rPr>
          <w:rFonts w:ascii="Times New Roman" w:cs="Times New Roman" w:eastAsia="Times New Roman" w:hAnsi="Times New Roman"/>
          <w:color w:val="123a69"/>
          <w:sz w:val="24"/>
          <w:szCs w:val="24"/>
          <w:rtl w:val="0"/>
        </w:rPr>
        <w:t xml:space="preserve">8.1. Validez interna y externa</w:t>
      </w:r>
    </w:p>
    <w:p w:rsidR="00000000" w:rsidDel="00000000" w:rsidP="00000000" w:rsidRDefault="00000000" w:rsidRPr="00000000" w14:paraId="000001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fortaleza del diseño es la separación temporal de entrenamiento, validación y prueba, acompañada de una auditoría reproducible de las sesiones elegibles. También se mantuvo fija la estrategia 1+4 durante la evaluación de prueba, evitando escoger retrospectivamente la variante con mejor resultado de test.</w:t>
      </w:r>
    </w:p>
    <w:p w:rsidR="00000000" w:rsidDel="00000000" w:rsidP="00000000" w:rsidRDefault="00000000" w:rsidRPr="00000000" w14:paraId="0000010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 amenazas a la validez: la ventana de observación es breve, las compras son escasas, el tamaño de la muestra de prueba es limitado y las métricas de recomendación pueden depender de cómo se construyeron los vectores. La diferencia entre las 164 sesiones de un análisis preliminar y las 119 de la evaluación final debe presentarse como una diferencia de protocolo aún no reconciliada, no como una pérdida aleatoria de registros.</w:t>
      </w:r>
    </w:p>
    <w:p w:rsidR="00000000" w:rsidDel="00000000" w:rsidP="00000000" w:rsidRDefault="00000000" w:rsidRPr="00000000" w14:paraId="000001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una aplicación real sería necesario evaluar también diversidad, novedad, cobertura del catálogo, experiencia del usuario y resultados comerciales. El experimento actual permite comparar estructuras y algoritmos en condiciones controladas, pero no demuestra mejoras de ventas ni generalización a otros periodos o catálogos.</w:t>
      </w:r>
    </w:p>
    <w:p w:rsidR="00000000" w:rsidDel="00000000" w:rsidP="00000000" w:rsidRDefault="00000000" w:rsidRPr="00000000" w14:paraId="00000105">
      <w:pPr>
        <w:pStyle w:val="Heading1"/>
        <w:jc w:val="left"/>
        <w:rPr>
          <w:color w:val="123a69"/>
          <w:sz w:val="30"/>
          <w:szCs w:val="30"/>
        </w:rPr>
      </w:pPr>
      <w:r w:rsidDel="00000000" w:rsidR="00000000" w:rsidRPr="00000000">
        <w:rPr>
          <w:color w:val="123a69"/>
          <w:sz w:val="30"/>
          <w:szCs w:val="30"/>
          <w:rtl w:val="0"/>
        </w:rPr>
        <w:t xml:space="preserve">9. Conclusiones</w:t>
      </w:r>
    </w:p>
    <w:p w:rsidR="00000000" w:rsidDel="00000000" w:rsidP="00000000" w:rsidRDefault="00000000" w:rsidRPr="00000000" w14:paraId="0000010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construyeron satisfactoriamente un grafo de coocurrencia, un índice HNSW y un motor híbrido. En prueba, el híbrido 1+4 obtuvo el mayor Hit Rate@5 (19.33%); HNSW logró mejor Precision@5 (4.71%) y Recall@5 (14.04%), mientras que el grafo registró la menor latencia (0.01442 ms). La diferencia entre HNSW y el híbrido en acierto por sesión no fue estadísticamente significativa (McNemar exacto, p = 1.000). La elección práctica depende de los objetivos de calidad, interpretabilidad, latencia y costo de infraestructura. HNSW es una alternativa competitiva si se priorizan precisión, recall y simplicidad operativa respecto del híbrido.</w:t>
      </w:r>
    </w:p>
    <w:p w:rsidR="00000000" w:rsidDel="00000000" w:rsidP="00000000" w:rsidRDefault="00000000" w:rsidRPr="00000000" w14:paraId="00000107">
      <w:pPr>
        <w:pStyle w:val="Heading1"/>
        <w:jc w:val="left"/>
        <w:rPr>
          <w:color w:val="123a69"/>
          <w:sz w:val="30"/>
          <w:szCs w:val="30"/>
        </w:rPr>
      </w:pPr>
      <w:r w:rsidDel="00000000" w:rsidR="00000000" w:rsidRPr="00000000">
        <w:rPr>
          <w:color w:val="123a69"/>
          <w:sz w:val="30"/>
          <w:szCs w:val="30"/>
          <w:rtl w:val="0"/>
        </w:rPr>
        <w:t xml:space="preserve">10. Trabajo futuro</w:t>
      </w:r>
    </w:p>
    <w:p w:rsidR="00000000" w:rsidDel="00000000" w:rsidP="00000000" w:rsidRDefault="00000000" w:rsidRPr="00000000" w14:paraId="0000010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Ampliar el periodo y volumen de datos; incorporar métricas de compra y conversión; comparar contra baselines de popularidad y recomendación aleatoria; repetir mediciones de latencia en condiciones controladas; evaluar diversidad, cobertura y comportamiento de arranque en frío; e investigar representaciones vectoriales adicionales.</w:t>
      </w:r>
    </w:p>
    <w:p w:rsidR="00000000" w:rsidDel="00000000" w:rsidP="00000000" w:rsidRDefault="00000000" w:rsidRPr="00000000" w14:paraId="00000109">
      <w:pPr>
        <w:pStyle w:val="Heading1"/>
        <w:jc w:val="left"/>
        <w:rPr>
          <w:color w:val="123a69"/>
          <w:sz w:val="30"/>
          <w:szCs w:val="30"/>
        </w:rPr>
      </w:pPr>
      <w:r w:rsidDel="00000000" w:rsidR="00000000" w:rsidRPr="00000000">
        <w:rPr>
          <w:color w:val="123a69"/>
          <w:sz w:val="30"/>
          <w:szCs w:val="30"/>
          <w:rtl w:val="0"/>
        </w:rPr>
        <w:t xml:space="preserve">Anexo. Evidencias pendientes de incorporar</w:t>
      </w:r>
    </w:p>
    <w:p w:rsidR="00000000" w:rsidDel="00000000" w:rsidP="00000000" w:rsidRDefault="00000000" w:rsidRPr="00000000" w14:paraId="0000010A">
      <w:pPr>
        <w:spacing w:after="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Agregar desde el notebook: (1) captura o exportación de la construcción del grafo; (2) parámetros concretos del índice HNSW; (3) fragmentos de las funciones de recomendación; (4) tablas completas de validación y prueba; (5) gráfica de comparación; (6) enlace o archivo .ipynb reproducible. No se incluyen capturas no facilitadas ni parámetros del índice que no hayan sido verificados.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140" w:before="320" w:line="36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